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08D8" w14:textId="537D6C49" w:rsidR="00124EB7" w:rsidRPr="00F55D37" w:rsidRDefault="00124EB7" w:rsidP="00F55D37">
      <w:pPr>
        <w:spacing w:line="360" w:lineRule="auto"/>
        <w:jc w:val="center"/>
        <w:rPr>
          <w:rFonts w:ascii="Book Antiqua" w:hAnsi="Book Antiqua"/>
          <w:b/>
          <w:color w:val="000000" w:themeColor="text1"/>
          <w:sz w:val="22"/>
          <w:szCs w:val="22"/>
          <w:lang w:val="en-US"/>
        </w:rPr>
      </w:pPr>
      <w:r w:rsidRPr="00F55D37">
        <w:rPr>
          <w:rFonts w:ascii="Book Antiqua" w:hAnsi="Book Antiqua"/>
          <w:noProof/>
          <w:color w:val="000000" w:themeColor="text1"/>
          <w:lang w:val="en-US"/>
        </w:rPr>
        <w:drawing>
          <wp:inline distT="0" distB="0" distL="0" distR="0" wp14:anchorId="2E96F593" wp14:editId="3290AB5E">
            <wp:extent cx="788035" cy="788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88035" cy="788035"/>
                    </a:xfrm>
                    <a:prstGeom prst="rect">
                      <a:avLst/>
                    </a:prstGeom>
                    <a:noFill/>
                    <a:ln w="9525">
                      <a:noFill/>
                      <a:miter lim="800000"/>
                      <a:headEnd/>
                      <a:tailEnd/>
                    </a:ln>
                  </pic:spPr>
                </pic:pic>
              </a:graphicData>
            </a:graphic>
          </wp:inline>
        </w:drawing>
      </w:r>
    </w:p>
    <w:p w14:paraId="561430CE" w14:textId="77777777" w:rsidR="00F55D37" w:rsidRDefault="00263678" w:rsidP="00F55D37">
      <w:pPr>
        <w:jc w:val="center"/>
        <w:rPr>
          <w:rFonts w:ascii="Book Antiqua" w:hAnsi="Book Antiqua"/>
          <w:b/>
          <w:sz w:val="26"/>
          <w:szCs w:val="26"/>
        </w:rPr>
      </w:pPr>
      <w:bookmarkStart w:id="0" w:name="_top"/>
      <w:bookmarkEnd w:id="0"/>
      <w:r w:rsidRPr="00F55D37">
        <w:rPr>
          <w:rFonts w:ascii="Book Antiqua" w:hAnsi="Book Antiqua"/>
          <w:b/>
          <w:sz w:val="26"/>
          <w:szCs w:val="26"/>
        </w:rPr>
        <w:t>Adaptive Leadership Strategies in PKBM: Integrating Educator</w:t>
      </w:r>
      <w:r w:rsidR="00F55D37">
        <w:rPr>
          <w:rFonts w:ascii="Book Antiqua" w:hAnsi="Book Antiqua"/>
          <w:b/>
          <w:sz w:val="26"/>
          <w:szCs w:val="26"/>
        </w:rPr>
        <w:t xml:space="preserve"> </w:t>
      </w:r>
      <w:r w:rsidRPr="00F55D37">
        <w:rPr>
          <w:rFonts w:ascii="Book Antiqua" w:hAnsi="Book Antiqua"/>
          <w:b/>
          <w:sz w:val="26"/>
          <w:szCs w:val="26"/>
        </w:rPr>
        <w:t>Involvement and Communication for Sustainable</w:t>
      </w:r>
    </w:p>
    <w:p w14:paraId="62AC58AA" w14:textId="15D6374D" w:rsidR="00124EB7" w:rsidRPr="00F55D37" w:rsidRDefault="00263678" w:rsidP="00F55D37">
      <w:pPr>
        <w:jc w:val="center"/>
        <w:rPr>
          <w:rFonts w:ascii="Book Antiqua" w:hAnsi="Book Antiqua"/>
          <w:b/>
          <w:sz w:val="22"/>
          <w:szCs w:val="22"/>
          <w:lang w:val="en-US"/>
        </w:rPr>
      </w:pPr>
      <w:r w:rsidRPr="00F55D37">
        <w:rPr>
          <w:rFonts w:ascii="Book Antiqua" w:hAnsi="Book Antiqua"/>
          <w:b/>
          <w:sz w:val="26"/>
          <w:szCs w:val="26"/>
        </w:rPr>
        <w:t>Community Partnerships</w:t>
      </w:r>
    </w:p>
    <w:p w14:paraId="08D263BA" w14:textId="77777777" w:rsidR="00124EB7" w:rsidRPr="00F55D37" w:rsidRDefault="00124EB7" w:rsidP="00F55D37">
      <w:pPr>
        <w:jc w:val="center"/>
        <w:rPr>
          <w:rFonts w:ascii="Book Antiqua" w:hAnsi="Book Antiqua"/>
          <w:b/>
          <w:bCs/>
          <w:sz w:val="22"/>
          <w:szCs w:val="22"/>
          <w:lang w:val="en-US"/>
        </w:rPr>
      </w:pPr>
    </w:p>
    <w:p w14:paraId="0A48949D" w14:textId="6ED96624" w:rsidR="00124EB7" w:rsidRPr="00F55D37" w:rsidRDefault="00AB1B50" w:rsidP="00F55D37">
      <w:pPr>
        <w:spacing w:line="360" w:lineRule="auto"/>
        <w:jc w:val="center"/>
        <w:rPr>
          <w:rFonts w:ascii="Book Antiqua" w:hAnsi="Book Antiqua"/>
          <w:b/>
          <w:bCs/>
          <w:sz w:val="22"/>
          <w:szCs w:val="22"/>
          <w:lang w:val="en-US"/>
        </w:rPr>
      </w:pPr>
      <w:r w:rsidRPr="00F55D37">
        <w:rPr>
          <w:rFonts w:ascii="Book Antiqua" w:hAnsi="Book Antiqua"/>
          <w:b/>
          <w:sz w:val="22"/>
          <w:szCs w:val="22"/>
          <w:lang w:val="en-US"/>
        </w:rPr>
        <w:t>Hendry Hermawan</w:t>
      </w:r>
      <w:r w:rsidRPr="00F55D37">
        <w:rPr>
          <w:rFonts w:ascii="Book Antiqua" w:hAnsi="Book Antiqua"/>
          <w:b/>
          <w:sz w:val="22"/>
          <w:szCs w:val="22"/>
          <w:vertAlign w:val="superscript"/>
          <w:lang w:val="en-US"/>
        </w:rPr>
        <w:t>1*</w:t>
      </w:r>
      <w:r w:rsidRPr="00F55D37">
        <w:rPr>
          <w:rFonts w:ascii="Book Antiqua" w:hAnsi="Book Antiqua"/>
          <w:b/>
          <w:sz w:val="22"/>
          <w:szCs w:val="22"/>
          <w:lang w:val="en-US"/>
        </w:rPr>
        <w:t>; Ahmad Suriansyah</w:t>
      </w:r>
      <w:r w:rsidRPr="00F55D37">
        <w:rPr>
          <w:rFonts w:ascii="Book Antiqua" w:hAnsi="Book Antiqua"/>
          <w:b/>
          <w:sz w:val="22"/>
          <w:szCs w:val="22"/>
          <w:vertAlign w:val="superscript"/>
          <w:lang w:val="en-US"/>
        </w:rPr>
        <w:t>2</w:t>
      </w:r>
      <w:r w:rsidRPr="00F55D37">
        <w:rPr>
          <w:rFonts w:ascii="Book Antiqua" w:hAnsi="Book Antiqua"/>
          <w:b/>
          <w:sz w:val="22"/>
          <w:szCs w:val="22"/>
          <w:lang w:val="en-US"/>
        </w:rPr>
        <w:t>; Sulistiyana</w:t>
      </w:r>
      <w:r w:rsidRPr="00F55D37">
        <w:rPr>
          <w:rFonts w:ascii="Book Antiqua" w:hAnsi="Book Antiqua"/>
          <w:b/>
          <w:sz w:val="22"/>
          <w:szCs w:val="22"/>
          <w:vertAlign w:val="superscript"/>
          <w:lang w:val="en-US"/>
        </w:rPr>
        <w:t>3</w:t>
      </w:r>
      <w:r w:rsidRPr="00F55D37">
        <w:rPr>
          <w:rFonts w:ascii="Book Antiqua" w:hAnsi="Book Antiqua"/>
          <w:b/>
          <w:sz w:val="22"/>
          <w:szCs w:val="22"/>
          <w:lang w:val="en-US"/>
        </w:rPr>
        <w:t>; Aslamiah</w:t>
      </w:r>
      <w:r w:rsidRPr="00F55D37">
        <w:rPr>
          <w:rFonts w:ascii="Book Antiqua" w:hAnsi="Book Antiqua"/>
          <w:b/>
          <w:sz w:val="22"/>
          <w:szCs w:val="22"/>
          <w:vertAlign w:val="superscript"/>
          <w:lang w:val="en-US"/>
        </w:rPr>
        <w:t>4</w:t>
      </w:r>
    </w:p>
    <w:p w14:paraId="1D7A0DCC" w14:textId="1F6A62D9" w:rsidR="00124EB7" w:rsidRPr="00F55D37" w:rsidRDefault="00124EB7" w:rsidP="00F55D37">
      <w:pPr>
        <w:jc w:val="center"/>
        <w:rPr>
          <w:rFonts w:ascii="Book Antiqua" w:hAnsi="Book Antiqua"/>
          <w:i/>
          <w:iCs/>
          <w:sz w:val="20"/>
          <w:szCs w:val="20"/>
          <w:lang w:val="en-US"/>
        </w:rPr>
      </w:pPr>
      <w:r w:rsidRPr="00F55D37">
        <w:rPr>
          <w:rFonts w:ascii="Book Antiqua" w:hAnsi="Book Antiqua"/>
          <w:i/>
          <w:iCs/>
          <w:sz w:val="20"/>
          <w:szCs w:val="20"/>
          <w:vertAlign w:val="superscript"/>
          <w:lang w:val="en-US"/>
        </w:rPr>
        <w:t>1,2,3,4</w:t>
      </w:r>
      <w:r w:rsidRPr="00F55D37">
        <w:rPr>
          <w:rFonts w:ascii="Book Antiqua" w:hAnsi="Book Antiqua"/>
          <w:i/>
          <w:iCs/>
          <w:sz w:val="20"/>
          <w:szCs w:val="20"/>
          <w:lang w:val="en-US"/>
        </w:rPr>
        <w:t>Administrasi Pendidikan, Universitas Lambung Mangkurat, Indonesia</w:t>
      </w:r>
    </w:p>
    <w:p w14:paraId="33BCAE48" w14:textId="253057B5" w:rsidR="00263678" w:rsidRPr="00F55D37" w:rsidRDefault="002E1F33" w:rsidP="00F55D37">
      <w:pPr>
        <w:spacing w:line="600" w:lineRule="auto"/>
        <w:jc w:val="center"/>
        <w:rPr>
          <w:rFonts w:ascii="Book Antiqua" w:hAnsi="Book Antiqua"/>
          <w:i/>
          <w:iCs/>
          <w:sz w:val="20"/>
          <w:szCs w:val="20"/>
          <w:lang w:val="en-US"/>
        </w:rPr>
      </w:pPr>
      <w:r w:rsidRPr="00F55D37">
        <w:rPr>
          <w:rFonts w:ascii="Book Antiqua" w:hAnsi="Book Antiqua"/>
          <w:i/>
          <w:iCs/>
          <w:sz w:val="20"/>
          <w:szCs w:val="20"/>
          <w:vertAlign w:val="superscript"/>
          <w:lang w:val="en-US"/>
        </w:rPr>
        <w:t>1*</w:t>
      </w:r>
      <w:r w:rsidRPr="00F55D37">
        <w:rPr>
          <w:rFonts w:ascii="Book Antiqua" w:hAnsi="Book Antiqua"/>
          <w:i/>
          <w:iCs/>
          <w:sz w:val="20"/>
          <w:szCs w:val="20"/>
          <w:lang w:val="en-US"/>
        </w:rPr>
        <w:t xml:space="preserve">Corresponding Email: </w:t>
      </w:r>
      <w:hyperlink r:id="rId10" w:history="1">
        <w:r w:rsidRPr="00F55D37">
          <w:rPr>
            <w:rStyle w:val="Hyperlink"/>
            <w:rFonts w:ascii="Book Antiqua" w:hAnsi="Book Antiqua"/>
            <w:i/>
            <w:iCs/>
            <w:sz w:val="20"/>
            <w:szCs w:val="20"/>
            <w:lang w:val="en-US"/>
          </w:rPr>
          <w:t>hendryhermawan72@gmail.com</w:t>
        </w:r>
      </w:hyperlink>
    </w:p>
    <w:tbl>
      <w:tblPr>
        <w:tblW w:w="8447" w:type="dxa"/>
        <w:jc w:val="center"/>
        <w:tblLook w:val="04A0" w:firstRow="1" w:lastRow="0" w:firstColumn="1" w:lastColumn="0" w:noHBand="0" w:noVBand="1"/>
      </w:tblPr>
      <w:tblGrid>
        <w:gridCol w:w="2552"/>
        <w:gridCol w:w="5895"/>
      </w:tblGrid>
      <w:tr w:rsidR="00124EB7" w:rsidRPr="00F55D37" w14:paraId="633C2173" w14:textId="77777777" w:rsidTr="00E17B43">
        <w:trPr>
          <w:trHeight w:val="2167"/>
          <w:jc w:val="center"/>
        </w:trPr>
        <w:tc>
          <w:tcPr>
            <w:tcW w:w="2552" w:type="dxa"/>
          </w:tcPr>
          <w:p w14:paraId="432E7599" w14:textId="77777777"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b/>
                <w:iCs/>
                <w:color w:val="000000"/>
                <w:sz w:val="18"/>
                <w:szCs w:val="18"/>
              </w:rPr>
            </w:pPr>
            <w:r w:rsidRPr="00F55D37">
              <w:rPr>
                <w:rFonts w:ascii="Book Antiqua" w:hAnsi="Book Antiqua"/>
                <w:b/>
                <w:iCs/>
                <w:color w:val="000000"/>
                <w:sz w:val="18"/>
                <w:szCs w:val="18"/>
              </w:rPr>
              <w:t xml:space="preserve">Article History: </w:t>
            </w:r>
          </w:p>
          <w:p w14:paraId="68624BCA" w14:textId="1A458F90"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iCs/>
                <w:color w:val="000000"/>
                <w:sz w:val="18"/>
                <w:szCs w:val="18"/>
              </w:rPr>
              <w:t xml:space="preserve">Received: </w:t>
            </w:r>
            <w:r w:rsidR="00E17B43">
              <w:rPr>
                <w:rFonts w:ascii="Book Antiqua" w:hAnsi="Book Antiqua"/>
                <w:iCs/>
                <w:color w:val="000000"/>
                <w:sz w:val="18"/>
                <w:szCs w:val="18"/>
              </w:rPr>
              <w:t>Feb</w:t>
            </w:r>
            <w:r w:rsidRPr="00F55D37">
              <w:rPr>
                <w:rFonts w:ascii="Book Antiqua" w:hAnsi="Book Antiqua"/>
                <w:iCs/>
                <w:color w:val="000000"/>
                <w:sz w:val="18"/>
                <w:szCs w:val="18"/>
              </w:rPr>
              <w:t xml:space="preserve"> </w:t>
            </w:r>
            <w:r w:rsidR="00E17B43">
              <w:rPr>
                <w:rFonts w:ascii="Book Antiqua" w:hAnsi="Book Antiqua"/>
                <w:iCs/>
                <w:color w:val="000000"/>
                <w:sz w:val="18"/>
                <w:szCs w:val="18"/>
              </w:rPr>
              <w:t>19</w:t>
            </w:r>
            <w:r w:rsidRPr="00F55D37">
              <w:rPr>
                <w:rFonts w:ascii="Book Antiqua" w:hAnsi="Book Antiqua"/>
                <w:iCs/>
                <w:color w:val="000000"/>
                <w:sz w:val="18"/>
                <w:szCs w:val="18"/>
              </w:rPr>
              <w:t>, 20</w:t>
            </w:r>
            <w:r w:rsidR="00E17B43">
              <w:rPr>
                <w:rFonts w:ascii="Book Antiqua" w:hAnsi="Book Antiqua"/>
                <w:iCs/>
                <w:color w:val="000000"/>
                <w:sz w:val="18"/>
                <w:szCs w:val="18"/>
              </w:rPr>
              <w:t>26</w:t>
            </w:r>
          </w:p>
          <w:p w14:paraId="1E028317" w14:textId="088F91E3"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iCs/>
                <w:color w:val="000000"/>
                <w:sz w:val="18"/>
                <w:szCs w:val="18"/>
              </w:rPr>
              <w:t xml:space="preserve">Revised: </w:t>
            </w:r>
            <w:r w:rsidR="00E17B43">
              <w:rPr>
                <w:rFonts w:ascii="Book Antiqua" w:hAnsi="Book Antiqua"/>
                <w:iCs/>
                <w:color w:val="000000"/>
                <w:sz w:val="18"/>
                <w:szCs w:val="18"/>
              </w:rPr>
              <w:t>Mar</w:t>
            </w:r>
            <w:r w:rsidRPr="00F55D37">
              <w:rPr>
                <w:rFonts w:ascii="Book Antiqua" w:hAnsi="Book Antiqua"/>
                <w:iCs/>
                <w:color w:val="000000"/>
                <w:sz w:val="18"/>
                <w:szCs w:val="18"/>
              </w:rPr>
              <w:t xml:space="preserve"> </w:t>
            </w:r>
            <w:r w:rsidR="00E17B43">
              <w:rPr>
                <w:rFonts w:ascii="Book Antiqua" w:hAnsi="Book Antiqua"/>
                <w:iCs/>
                <w:color w:val="000000"/>
                <w:sz w:val="18"/>
                <w:szCs w:val="18"/>
              </w:rPr>
              <w:t>24</w:t>
            </w:r>
            <w:r w:rsidRPr="00F55D37">
              <w:rPr>
                <w:rFonts w:ascii="Book Antiqua" w:hAnsi="Book Antiqua"/>
                <w:iCs/>
                <w:color w:val="000000"/>
                <w:sz w:val="18"/>
                <w:szCs w:val="18"/>
              </w:rPr>
              <w:t>, 20</w:t>
            </w:r>
            <w:r w:rsidR="00E17B43">
              <w:rPr>
                <w:rFonts w:ascii="Book Antiqua" w:hAnsi="Book Antiqua"/>
                <w:iCs/>
                <w:color w:val="000000"/>
                <w:sz w:val="18"/>
                <w:szCs w:val="18"/>
              </w:rPr>
              <w:t>26</w:t>
            </w:r>
            <w:r w:rsidRPr="00F55D37">
              <w:rPr>
                <w:rFonts w:ascii="Book Antiqua" w:hAnsi="Book Antiqua"/>
                <w:iCs/>
                <w:color w:val="000000"/>
                <w:sz w:val="18"/>
                <w:szCs w:val="18"/>
              </w:rPr>
              <w:t xml:space="preserve"> </w:t>
            </w:r>
          </w:p>
          <w:p w14:paraId="616BC2C0" w14:textId="523F9C4D"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iCs/>
                <w:color w:val="000000"/>
                <w:sz w:val="18"/>
                <w:szCs w:val="18"/>
              </w:rPr>
              <w:t xml:space="preserve">Accepted: </w:t>
            </w:r>
            <w:r w:rsidR="00E17B43">
              <w:rPr>
                <w:rFonts w:ascii="Book Antiqua" w:hAnsi="Book Antiqua"/>
                <w:iCs/>
                <w:color w:val="000000"/>
                <w:sz w:val="18"/>
                <w:szCs w:val="18"/>
              </w:rPr>
              <w:t>Apr</w:t>
            </w:r>
            <w:r w:rsidRPr="00F55D37">
              <w:rPr>
                <w:rFonts w:ascii="Book Antiqua" w:hAnsi="Book Antiqua"/>
                <w:iCs/>
                <w:color w:val="000000"/>
                <w:sz w:val="18"/>
                <w:szCs w:val="18"/>
              </w:rPr>
              <w:t xml:space="preserve"> </w:t>
            </w:r>
            <w:r w:rsidR="00E17B43">
              <w:rPr>
                <w:rFonts w:ascii="Book Antiqua" w:hAnsi="Book Antiqua"/>
                <w:iCs/>
                <w:color w:val="000000"/>
                <w:sz w:val="18"/>
                <w:szCs w:val="18"/>
              </w:rPr>
              <w:t>08</w:t>
            </w:r>
            <w:r w:rsidRPr="00F55D37">
              <w:rPr>
                <w:rFonts w:ascii="Book Antiqua" w:hAnsi="Book Antiqua"/>
                <w:iCs/>
                <w:color w:val="000000"/>
                <w:sz w:val="18"/>
                <w:szCs w:val="18"/>
              </w:rPr>
              <w:t>, 20</w:t>
            </w:r>
            <w:r w:rsidR="00E17B43">
              <w:rPr>
                <w:rFonts w:ascii="Book Antiqua" w:hAnsi="Book Antiqua"/>
                <w:iCs/>
                <w:color w:val="000000"/>
                <w:sz w:val="18"/>
                <w:szCs w:val="18"/>
              </w:rPr>
              <w:t>26</w:t>
            </w:r>
            <w:r w:rsidRPr="00F55D37">
              <w:rPr>
                <w:rFonts w:ascii="Book Antiqua" w:hAnsi="Book Antiqua"/>
                <w:iCs/>
                <w:color w:val="000000"/>
                <w:sz w:val="18"/>
                <w:szCs w:val="18"/>
              </w:rPr>
              <w:t xml:space="preserve"> </w:t>
            </w:r>
          </w:p>
          <w:p w14:paraId="7E1B1ED5" w14:textId="795F5C81" w:rsidR="00124EB7" w:rsidRPr="00F55D37" w:rsidRDefault="004065D2"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iCs/>
                <w:color w:val="000000"/>
                <w:sz w:val="18"/>
                <w:szCs w:val="18"/>
                <w:lang w:val="en-US"/>
              </w:rPr>
              <w:t>Online First</w:t>
            </w:r>
            <w:r w:rsidRPr="00F55D37">
              <w:rPr>
                <w:rFonts w:ascii="Book Antiqua" w:hAnsi="Book Antiqua"/>
                <w:iCs/>
                <w:color w:val="000000"/>
                <w:sz w:val="18"/>
                <w:szCs w:val="18"/>
              </w:rPr>
              <w:t xml:space="preserve">: </w:t>
            </w:r>
            <w:r w:rsidR="00E17B43">
              <w:rPr>
                <w:rFonts w:ascii="Book Antiqua" w:hAnsi="Book Antiqua"/>
                <w:iCs/>
                <w:color w:val="000000"/>
                <w:sz w:val="18"/>
                <w:szCs w:val="18"/>
              </w:rPr>
              <w:t>Apr</w:t>
            </w:r>
            <w:r w:rsidRPr="00F55D37">
              <w:rPr>
                <w:rFonts w:ascii="Book Antiqua" w:hAnsi="Book Antiqua"/>
                <w:iCs/>
                <w:color w:val="000000"/>
                <w:sz w:val="18"/>
                <w:szCs w:val="18"/>
              </w:rPr>
              <w:t xml:space="preserve"> </w:t>
            </w:r>
            <w:r w:rsidR="00E17B43">
              <w:rPr>
                <w:rFonts w:ascii="Book Antiqua" w:hAnsi="Book Antiqua"/>
                <w:iCs/>
                <w:color w:val="000000"/>
                <w:sz w:val="18"/>
                <w:szCs w:val="18"/>
              </w:rPr>
              <w:t>28</w:t>
            </w:r>
            <w:r w:rsidRPr="00F55D37">
              <w:rPr>
                <w:rFonts w:ascii="Book Antiqua" w:hAnsi="Book Antiqua"/>
                <w:iCs/>
                <w:color w:val="000000"/>
                <w:sz w:val="18"/>
                <w:szCs w:val="18"/>
              </w:rPr>
              <w:t>, 20</w:t>
            </w:r>
            <w:r w:rsidR="00E17B43">
              <w:rPr>
                <w:rFonts w:ascii="Book Antiqua" w:hAnsi="Book Antiqua"/>
                <w:iCs/>
                <w:color w:val="000000"/>
                <w:sz w:val="18"/>
                <w:szCs w:val="18"/>
              </w:rPr>
              <w:t>26</w:t>
            </w:r>
          </w:p>
          <w:p w14:paraId="0CEA13C8" w14:textId="77777777"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b/>
                <w:iCs/>
                <w:color w:val="000000"/>
                <w:sz w:val="18"/>
                <w:szCs w:val="18"/>
              </w:rPr>
            </w:pPr>
          </w:p>
          <w:p w14:paraId="0B05A1D2" w14:textId="77777777"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b/>
                <w:iCs/>
                <w:color w:val="000000"/>
                <w:sz w:val="18"/>
                <w:szCs w:val="18"/>
              </w:rPr>
              <w:t>Keywords:</w:t>
            </w:r>
            <w:r w:rsidRPr="00F55D37">
              <w:rPr>
                <w:rFonts w:ascii="Book Antiqua" w:hAnsi="Book Antiqua"/>
                <w:b/>
                <w:sz w:val="18"/>
                <w:szCs w:val="18"/>
              </w:rPr>
              <w:t xml:space="preserve"> </w:t>
            </w:r>
          </w:p>
          <w:p w14:paraId="0F3A928E" w14:textId="77777777" w:rsidR="00F55D37" w:rsidRDefault="00F55D3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iCs/>
                <w:color w:val="000000"/>
                <w:sz w:val="18"/>
                <w:szCs w:val="18"/>
              </w:rPr>
              <w:t xml:space="preserve">Adaptive Leadership, </w:t>
            </w:r>
          </w:p>
          <w:p w14:paraId="551518C4" w14:textId="77777777" w:rsidR="00F55D37" w:rsidRDefault="00F55D3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iCs/>
                <w:color w:val="000000"/>
                <w:sz w:val="18"/>
                <w:szCs w:val="18"/>
              </w:rPr>
              <w:t>Community Based Education,</w:t>
            </w:r>
          </w:p>
          <w:p w14:paraId="25640679" w14:textId="77777777" w:rsidR="00F55D37" w:rsidRDefault="00F55D3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iCs/>
                <w:color w:val="000000"/>
                <w:sz w:val="18"/>
                <w:szCs w:val="18"/>
              </w:rPr>
              <w:t xml:space="preserve">Educational Leadership Strategy, </w:t>
            </w:r>
          </w:p>
          <w:p w14:paraId="09591FAF" w14:textId="04C422CF" w:rsidR="00F55D37" w:rsidRPr="00F55D37" w:rsidRDefault="00F55D3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iCs/>
                <w:color w:val="000000"/>
                <w:sz w:val="18"/>
                <w:szCs w:val="18"/>
              </w:rPr>
              <w:t>Multi-site Qualitative Study</w:t>
            </w:r>
            <w:r>
              <w:rPr>
                <w:rFonts w:ascii="Book Antiqua" w:hAnsi="Book Antiqua"/>
                <w:iCs/>
                <w:color w:val="000000"/>
                <w:sz w:val="18"/>
                <w:szCs w:val="18"/>
              </w:rPr>
              <w:t>.</w:t>
            </w:r>
          </w:p>
          <w:p w14:paraId="4BAF1315" w14:textId="77777777"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b/>
                <w:iCs/>
                <w:color w:val="000000"/>
                <w:sz w:val="18"/>
                <w:szCs w:val="18"/>
              </w:rPr>
            </w:pPr>
          </w:p>
          <w:p w14:paraId="167BDFBA" w14:textId="77777777"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iCs/>
                <w:color w:val="000000"/>
                <w:sz w:val="18"/>
                <w:szCs w:val="18"/>
              </w:rPr>
            </w:pPr>
            <w:r w:rsidRPr="00F55D37">
              <w:rPr>
                <w:rFonts w:ascii="Book Antiqua" w:hAnsi="Book Antiqua"/>
                <w:b/>
                <w:iCs/>
                <w:color w:val="000000"/>
                <w:sz w:val="18"/>
                <w:szCs w:val="18"/>
              </w:rPr>
              <w:t>Kata Kunci:</w:t>
            </w:r>
            <w:r w:rsidRPr="00F55D37">
              <w:rPr>
                <w:rFonts w:ascii="Book Antiqua" w:hAnsi="Book Antiqua"/>
                <w:b/>
                <w:sz w:val="18"/>
                <w:szCs w:val="18"/>
              </w:rPr>
              <w:t xml:space="preserve"> </w:t>
            </w:r>
          </w:p>
          <w:p w14:paraId="11A72FFD" w14:textId="77777777" w:rsidR="00F55D37" w:rsidRDefault="00F55D37" w:rsidP="00F55D3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sz w:val="18"/>
                <w:szCs w:val="18"/>
              </w:rPr>
            </w:pPr>
            <w:r w:rsidRPr="00F55D37">
              <w:rPr>
                <w:rFonts w:ascii="Book Antiqua" w:hAnsi="Book Antiqua"/>
                <w:sz w:val="18"/>
                <w:szCs w:val="18"/>
              </w:rPr>
              <w:t xml:space="preserve">Kepemimpinan Adaptif, </w:t>
            </w:r>
          </w:p>
          <w:p w14:paraId="55E8B5B4" w14:textId="77777777" w:rsidR="00F55D37" w:rsidRDefault="00F55D37" w:rsidP="00F55D3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sz w:val="18"/>
                <w:szCs w:val="18"/>
              </w:rPr>
            </w:pPr>
            <w:r w:rsidRPr="00F55D37">
              <w:rPr>
                <w:rFonts w:ascii="Book Antiqua" w:hAnsi="Book Antiqua"/>
                <w:sz w:val="18"/>
                <w:szCs w:val="18"/>
              </w:rPr>
              <w:t xml:space="preserve">Pendidikan Berbasis Komunitas, </w:t>
            </w:r>
          </w:p>
          <w:p w14:paraId="5B8FAE74" w14:textId="77777777" w:rsidR="00F55D37" w:rsidRDefault="00F55D37" w:rsidP="00F55D3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sz w:val="18"/>
                <w:szCs w:val="18"/>
              </w:rPr>
            </w:pPr>
            <w:r w:rsidRPr="00F55D37">
              <w:rPr>
                <w:rFonts w:ascii="Book Antiqua" w:hAnsi="Book Antiqua"/>
                <w:sz w:val="18"/>
                <w:szCs w:val="18"/>
              </w:rPr>
              <w:t xml:space="preserve">Strategi Kepemimpinan, </w:t>
            </w:r>
          </w:p>
          <w:p w14:paraId="32247FD8" w14:textId="77777777" w:rsidR="00F55D37" w:rsidRPr="00F55D37" w:rsidRDefault="00F55D37" w:rsidP="00F55D3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sz w:val="18"/>
                <w:szCs w:val="18"/>
              </w:rPr>
            </w:pPr>
            <w:r w:rsidRPr="00F55D37">
              <w:rPr>
                <w:rFonts w:ascii="Book Antiqua" w:hAnsi="Book Antiqua"/>
                <w:sz w:val="18"/>
                <w:szCs w:val="18"/>
              </w:rPr>
              <w:t>Studi Kualitatif Multi Situs.</w:t>
            </w:r>
          </w:p>
          <w:p w14:paraId="7D09DEEE" w14:textId="77777777" w:rsidR="00124EB7" w:rsidRPr="00F55D37" w:rsidRDefault="00124EB7" w:rsidP="00F55D3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sz w:val="18"/>
                <w:szCs w:val="18"/>
              </w:rPr>
            </w:pPr>
          </w:p>
          <w:p w14:paraId="7EBA49B1" w14:textId="77777777"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b/>
                <w:iCs/>
                <w:color w:val="000000"/>
                <w:sz w:val="18"/>
                <w:szCs w:val="18"/>
              </w:rPr>
            </w:pPr>
          </w:p>
          <w:p w14:paraId="4BAA079B" w14:textId="77777777" w:rsidR="00124EB7" w:rsidRPr="00F55D37" w:rsidRDefault="00124EB7" w:rsidP="00F55D3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32"/>
              <w:rPr>
                <w:rFonts w:ascii="Book Antiqua" w:hAnsi="Book Antiqua"/>
                <w:color w:val="000000"/>
                <w:sz w:val="18"/>
                <w:szCs w:val="18"/>
              </w:rPr>
            </w:pPr>
            <w:r w:rsidRPr="00F55D37">
              <w:rPr>
                <w:rFonts w:ascii="Book Antiqua" w:hAnsi="Book Antiqua"/>
                <w:color w:val="000000"/>
                <w:sz w:val="18"/>
                <w:szCs w:val="18"/>
              </w:rPr>
              <w:t>______________________</w:t>
            </w:r>
          </w:p>
          <w:p w14:paraId="54F2AC56" w14:textId="77777777" w:rsidR="00124EB7" w:rsidRPr="00F55D37" w:rsidRDefault="00124EB7" w:rsidP="00F55D37">
            <w:pPr>
              <w:ind w:right="32"/>
              <w:rPr>
                <w:rFonts w:ascii="Book Antiqua" w:hAnsi="Book Antiqua"/>
                <w:b/>
                <w:color w:val="000000"/>
                <w:sz w:val="18"/>
                <w:szCs w:val="18"/>
                <w:lang w:val="en-ID"/>
              </w:rPr>
            </w:pPr>
            <w:r w:rsidRPr="00F55D37">
              <w:rPr>
                <w:rFonts w:ascii="Book Antiqua" w:hAnsi="Book Antiqua"/>
                <w:b/>
                <w:color w:val="000000"/>
                <w:sz w:val="18"/>
                <w:szCs w:val="18"/>
                <w:lang w:val="en-ID"/>
              </w:rPr>
              <w:t>How to cite:</w:t>
            </w:r>
          </w:p>
          <w:p w14:paraId="0C87E33A" w14:textId="0541AF05" w:rsidR="00F55D37" w:rsidRPr="00F55D37" w:rsidRDefault="00F55D37" w:rsidP="00F55D37">
            <w:pPr>
              <w:ind w:right="32"/>
              <w:jc w:val="both"/>
              <w:rPr>
                <w:rFonts w:ascii="Book Antiqua" w:hAnsi="Book Antiqua"/>
                <w:color w:val="000000"/>
                <w:sz w:val="16"/>
                <w:szCs w:val="16"/>
                <w:u w:val="single"/>
                <w:lang w:val="en-ID"/>
              </w:rPr>
            </w:pPr>
            <w:r w:rsidRPr="00F55D37">
              <w:rPr>
                <w:rFonts w:ascii="Book Antiqua" w:eastAsia="Book Antiqua" w:hAnsi="Book Antiqua"/>
                <w:color w:val="000000" w:themeColor="text1"/>
                <w:sz w:val="16"/>
                <w:szCs w:val="16"/>
              </w:rPr>
              <w:t>Hermawan, H., Suriansyah, A., Sulistiyana, S., &amp; Aslamiah, A.</w:t>
            </w:r>
            <w:r w:rsidRPr="00F55D37">
              <w:rPr>
                <w:rFonts w:ascii="Book Antiqua" w:eastAsia="Book Antiqua" w:hAnsi="Book Antiqua"/>
                <w:color w:val="000000" w:themeColor="text1"/>
                <w:sz w:val="16"/>
                <w:szCs w:val="16"/>
                <w:lang w:val="fi-FI"/>
              </w:rPr>
              <w:t xml:space="preserve"> </w:t>
            </w:r>
            <w:r w:rsidRPr="00F55D37">
              <w:rPr>
                <w:rFonts w:ascii="Book Antiqua" w:eastAsia="Book Antiqua" w:hAnsi="Book Antiqua" w:cs="Book Antiqua"/>
                <w:color w:val="000000" w:themeColor="text1"/>
                <w:sz w:val="16"/>
                <w:szCs w:val="16"/>
                <w:lang w:val="fi-FI"/>
              </w:rPr>
              <w:t>(2026).</w:t>
            </w:r>
            <w:r w:rsidRPr="00F55D37">
              <w:rPr>
                <w:rFonts w:ascii="Book Antiqua" w:hAnsi="Book Antiqua"/>
                <w:sz w:val="16"/>
                <w:szCs w:val="16"/>
                <w:lang w:val="fi-FI"/>
              </w:rPr>
              <w:t xml:space="preserve"> </w:t>
            </w:r>
            <w:r w:rsidRPr="00F55D37">
              <w:rPr>
                <w:rFonts w:ascii="Book Antiqua" w:hAnsi="Book Antiqua"/>
                <w:sz w:val="16"/>
                <w:szCs w:val="16"/>
                <w:lang w:val="en-ID"/>
              </w:rPr>
              <w:t>Development of a Word Quest Big Book Based on the Picture and Picture Model to Significantly Improve Narrative Writing Skills</w:t>
            </w:r>
            <w:r w:rsidRPr="00F55D37">
              <w:rPr>
                <w:rFonts w:ascii="Book Antiqua" w:eastAsia="Book Antiqua" w:hAnsi="Book Antiqua" w:cs="Book Antiqua"/>
                <w:color w:val="000000" w:themeColor="text1"/>
                <w:sz w:val="16"/>
                <w:szCs w:val="16"/>
              </w:rPr>
              <w:t xml:space="preserve">. </w:t>
            </w:r>
            <w:r w:rsidRPr="00F55D37">
              <w:rPr>
                <w:rFonts w:ascii="Book Antiqua" w:eastAsia="Book Antiqua" w:hAnsi="Book Antiqua" w:cs="Book Antiqua"/>
                <w:i/>
                <w:color w:val="000000" w:themeColor="text1"/>
                <w:sz w:val="16"/>
                <w:szCs w:val="16"/>
              </w:rPr>
              <w:t>Edunesia : Jurnal Ilmiah Pendidikan, 7</w:t>
            </w:r>
            <w:r w:rsidRPr="00F55D37">
              <w:rPr>
                <w:rFonts w:ascii="Book Antiqua" w:eastAsia="Book Antiqua" w:hAnsi="Book Antiqua" w:cs="Book Antiqua"/>
                <w:color w:val="000000" w:themeColor="text1"/>
                <w:sz w:val="16"/>
                <w:szCs w:val="16"/>
              </w:rPr>
              <w:t>(2), 1</w:t>
            </w:r>
            <w:r w:rsidR="00820353">
              <w:rPr>
                <w:rFonts w:ascii="Book Antiqua" w:eastAsia="Book Antiqua" w:hAnsi="Book Antiqua" w:cs="Book Antiqua"/>
                <w:color w:val="000000" w:themeColor="text1"/>
                <w:sz w:val="16"/>
                <w:szCs w:val="16"/>
              </w:rPr>
              <w:t>296</w:t>
            </w:r>
            <w:r w:rsidRPr="00F55D37">
              <w:rPr>
                <w:rFonts w:ascii="Book Antiqua" w:eastAsia="Book Antiqua" w:hAnsi="Book Antiqua" w:cs="Book Antiqua"/>
                <w:color w:val="000000" w:themeColor="text1"/>
                <w:sz w:val="16"/>
                <w:szCs w:val="16"/>
              </w:rPr>
              <w:t>-</w:t>
            </w:r>
            <w:r w:rsidR="00820353">
              <w:rPr>
                <w:rFonts w:ascii="Book Antiqua" w:eastAsia="Book Antiqua" w:hAnsi="Book Antiqua" w:cs="Book Antiqua"/>
                <w:color w:val="000000" w:themeColor="text1"/>
                <w:sz w:val="16"/>
                <w:szCs w:val="16"/>
              </w:rPr>
              <w:t>1312</w:t>
            </w:r>
            <w:r w:rsidRPr="00F55D37">
              <w:rPr>
                <w:rFonts w:ascii="Book Antiqua" w:eastAsia="Book Antiqua" w:hAnsi="Book Antiqua" w:cs="Book Antiqua"/>
                <w:color w:val="000000" w:themeColor="text1"/>
                <w:sz w:val="16"/>
                <w:szCs w:val="16"/>
              </w:rPr>
              <w:t>.</w:t>
            </w:r>
          </w:p>
          <w:p w14:paraId="2EC7779D" w14:textId="77777777" w:rsidR="00124EB7" w:rsidRPr="00F55D37" w:rsidRDefault="00124EB7" w:rsidP="00F55D37">
            <w:pPr>
              <w:ind w:right="32"/>
              <w:rPr>
                <w:rFonts w:ascii="Book Antiqua" w:hAnsi="Book Antiqua"/>
                <w:color w:val="000000"/>
                <w:sz w:val="18"/>
                <w:szCs w:val="18"/>
                <w:u w:val="single"/>
                <w:lang w:val="en-ID"/>
              </w:rPr>
            </w:pPr>
          </w:p>
          <w:p w14:paraId="35447C7B" w14:textId="4B48006D" w:rsidR="00124EB7" w:rsidRPr="00F55D37" w:rsidRDefault="00124EB7" w:rsidP="00F55D37">
            <w:pPr>
              <w:ind w:right="32"/>
              <w:rPr>
                <w:rFonts w:ascii="Book Antiqua" w:hAnsi="Book Antiqua"/>
                <w:i/>
                <w:iCs/>
                <w:color w:val="000000"/>
                <w:sz w:val="16"/>
                <w:szCs w:val="16"/>
                <w:lang w:val="en-ID"/>
              </w:rPr>
            </w:pPr>
            <w:r w:rsidRPr="00F55D37">
              <w:rPr>
                <w:rFonts w:ascii="Book Antiqua" w:hAnsi="Book Antiqua"/>
                <w:i/>
                <w:iCs/>
                <w:color w:val="000000"/>
                <w:sz w:val="16"/>
                <w:szCs w:val="16"/>
                <w:lang w:val="en-ID"/>
              </w:rPr>
              <w:t>This is an open-access article under the CC-BY-NC-ND license</w:t>
            </w:r>
          </w:p>
          <w:p w14:paraId="1F68483D" w14:textId="77777777" w:rsidR="00124EB7" w:rsidRPr="00F55D37" w:rsidRDefault="00124EB7" w:rsidP="00F55D37">
            <w:pPr>
              <w:ind w:right="32"/>
              <w:rPr>
                <w:rFonts w:ascii="Book Antiqua" w:hAnsi="Book Antiqua"/>
                <w:i/>
                <w:iCs/>
                <w:color w:val="000000"/>
                <w:sz w:val="18"/>
                <w:szCs w:val="18"/>
                <w:lang w:val="fi-FI"/>
              </w:rPr>
            </w:pPr>
            <w:r w:rsidRPr="00F55D37">
              <w:rPr>
                <w:rFonts w:ascii="Book Antiqua" w:hAnsi="Book Antiqua"/>
                <w:noProof/>
                <w:sz w:val="18"/>
                <w:szCs w:val="18"/>
              </w:rPr>
              <w:drawing>
                <wp:inline distT="0" distB="0" distL="0" distR="0" wp14:anchorId="76E57250" wp14:editId="5B5F5E46">
                  <wp:extent cx="660400" cy="231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8097" cy="244366"/>
                          </a:xfrm>
                          <a:prstGeom prst="rect">
                            <a:avLst/>
                          </a:prstGeom>
                          <a:noFill/>
                          <a:ln>
                            <a:noFill/>
                          </a:ln>
                        </pic:spPr>
                      </pic:pic>
                    </a:graphicData>
                  </a:graphic>
                </wp:inline>
              </w:drawing>
            </w:r>
          </w:p>
        </w:tc>
        <w:tc>
          <w:tcPr>
            <w:tcW w:w="5895" w:type="dxa"/>
          </w:tcPr>
          <w:p w14:paraId="7EA7FF8F" w14:textId="7DD02A0E" w:rsidR="00124EB7" w:rsidRPr="00F55D37" w:rsidRDefault="00124EB7" w:rsidP="00F55D37">
            <w:pPr>
              <w:jc w:val="both"/>
              <w:rPr>
                <w:rFonts w:ascii="Book Antiqua" w:hAnsi="Book Antiqua"/>
                <w:color w:val="000000"/>
                <w:sz w:val="18"/>
                <w:szCs w:val="18"/>
                <w:lang w:val="en-ID"/>
              </w:rPr>
            </w:pPr>
            <w:r w:rsidRPr="00F55D37">
              <w:rPr>
                <w:rFonts w:ascii="Book Antiqua" w:hAnsi="Book Antiqua"/>
                <w:b/>
                <w:bCs/>
                <w:iCs/>
                <w:color w:val="000000"/>
                <w:sz w:val="18"/>
                <w:szCs w:val="18"/>
                <w:lang w:val="en-ID"/>
              </w:rPr>
              <w:t xml:space="preserve">Abstract: </w:t>
            </w:r>
            <w:r w:rsidRPr="00F55D37">
              <w:rPr>
                <w:rFonts w:ascii="Book Antiqua" w:hAnsi="Book Antiqua"/>
                <w:color w:val="000000"/>
                <w:sz w:val="18"/>
                <w:szCs w:val="18"/>
              </w:rPr>
              <w:t>This study examines leadership strategies used by PKBM heads to build sustainable community partnerships, with attention to educator involvement and communication. Using a qualitative multi-site design, the research was conducted at PKBM Merah Putih and PKBM Azka Bamega in Kotabaru Regency, involving two heads, ten educators, and six community partners. Data were gathered through interviews, observation, and documentation, then analyzed inductively with Miles and Huberman’s (2014) interactive model and triangulation. Findings indicate that PKBM Merah Putih used participatory leadership, engaging educators in evaluations and collaborative decisions, whereas PKBM Azka Bamega relied on centralized leadership, strong in external partnerships but limited in educator participation. Communication combined coordination meetings, local collaboration, and contextual approaches. Cross-site synthesis revealed an adaptive integrative model balancing internal collaboration and external coordination. The study offers a context-responsive framework for non-formal education governance and practical guidance for strengthening educator capacity, communication, and sustainable partnerships in similar community-based settings nationwide.</w:t>
            </w:r>
          </w:p>
          <w:p w14:paraId="0E040205" w14:textId="77777777" w:rsidR="00124EB7" w:rsidRPr="00F55D37" w:rsidRDefault="00124EB7" w:rsidP="00F55D37">
            <w:pPr>
              <w:jc w:val="both"/>
              <w:rPr>
                <w:rFonts w:ascii="Book Antiqua" w:hAnsi="Book Antiqua"/>
                <w:color w:val="000000"/>
                <w:sz w:val="18"/>
                <w:szCs w:val="18"/>
                <w:lang w:val="en-ID"/>
              </w:rPr>
            </w:pPr>
          </w:p>
          <w:p w14:paraId="20772681" w14:textId="67ACB17A" w:rsidR="00D40EAD" w:rsidRPr="00F55D37" w:rsidRDefault="00124EB7" w:rsidP="00F55D3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Book Antiqua" w:hAnsi="Book Antiqua"/>
                <w:sz w:val="18"/>
                <w:szCs w:val="18"/>
              </w:rPr>
            </w:pPr>
            <w:r w:rsidRPr="00F55D37">
              <w:rPr>
                <w:rFonts w:ascii="Book Antiqua" w:hAnsi="Book Antiqua"/>
                <w:b/>
                <w:bCs/>
                <w:sz w:val="18"/>
                <w:szCs w:val="18"/>
              </w:rPr>
              <w:t>Abstrak</w:t>
            </w:r>
            <w:r w:rsidRPr="00F55D37">
              <w:rPr>
                <w:rFonts w:ascii="Book Antiqua" w:hAnsi="Book Antiqua"/>
                <w:sz w:val="18"/>
                <w:szCs w:val="18"/>
              </w:rPr>
              <w:t>: Penelitian ini menganalisis strategi kepemimpinan kepala PKBM dalam membangun kemitraan masyarakat yang berkelanjutan, dengan menekankan keterlibatan pendidik dan komunikasi. Menggunakan desain kualitatif multi-situs, penelitian dilakukan di PKBM Merah Putih dan PKBM Azka Bamega di Kabupaten Kotabaru, melibatkan dua kepala PKBM, sepuluh pendidik, dan enam mitra masyarakat. Data dikumpulkan melalui wawancara, observasi, dan dokumentasi, kemudian dianalisis secara induktif menggunakan model interaktif Miles dan Huberman dengan triangulasi. Hasil menunjukkan bahwa PKBM Merah Putih menerapkan kepemimpinan partisipatif dengan melibatkan pendidik dalam evaluasi dan pengambilan keputusan, sedangkan PKBM Azka Bamega menerapkan kepemimpinan terpusat yang kuat dalam kemitraan eksternal namun terbatas dalam partisipasi pendidik. Strategi komunikasi menggabungkan rapat koordinasi, kolaborasi lokal, dan pendekatan kontekstual. Sintesis lintas situs menghasilkan model kepemimpinan integratif adaptif yang menyeimbangkan kolaborasi internal dan koordinasi eksternal. Studi ini menawarkan kerangka konseptual dan panduan praktis bagi pengelolaan PKBM berkelanjutan.</w:t>
            </w:r>
          </w:p>
          <w:p w14:paraId="4ACE310A" w14:textId="036D0EFA" w:rsidR="00124EB7" w:rsidRPr="00F55D37" w:rsidRDefault="00124EB7" w:rsidP="00F55D3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Book Antiqua" w:hAnsi="Book Antiqua"/>
              </w:rPr>
            </w:pPr>
          </w:p>
        </w:tc>
      </w:tr>
    </w:tbl>
    <w:p w14:paraId="5D4F6034" w14:textId="6021EEAC" w:rsidR="00124EB7" w:rsidRPr="00F55D37" w:rsidRDefault="00836049" w:rsidP="00F55D37">
      <w:pPr>
        <w:pStyle w:val="ListParagraph"/>
        <w:shd w:val="clear" w:color="auto" w:fill="FFFFFF"/>
        <w:spacing w:after="0" w:line="360" w:lineRule="auto"/>
        <w:ind w:left="0"/>
        <w:jc w:val="both"/>
        <w:rPr>
          <w:rFonts w:ascii="Book Antiqua" w:hAnsi="Book Antiqua" w:cs="Times New Roman"/>
          <w:b/>
          <w:sz w:val="24"/>
          <w:szCs w:val="24"/>
          <w:lang w:val="en-US"/>
        </w:rPr>
      </w:pPr>
      <w:r w:rsidRPr="00F55D37">
        <w:rPr>
          <w:rFonts w:ascii="Book Antiqua" w:hAnsi="Book Antiqua" w:cs="Times New Roman"/>
          <w:b/>
          <w:sz w:val="24"/>
          <w:szCs w:val="24"/>
          <w:lang w:val="en-US"/>
        </w:rPr>
        <w:lastRenderedPageBreak/>
        <w:t>A. Introduction</w:t>
      </w:r>
    </w:p>
    <w:p w14:paraId="26134E80" w14:textId="34C07664" w:rsidR="008B2CFB" w:rsidRPr="006A25B7" w:rsidRDefault="0033441B" w:rsidP="00F55D37">
      <w:pPr>
        <w:spacing w:line="276" w:lineRule="auto"/>
        <w:ind w:firstLine="720"/>
        <w:jc w:val="both"/>
        <w:rPr>
          <w:rFonts w:ascii="Book Antiqua" w:hAnsi="Book Antiqua" w:cs="Courier New"/>
          <w:sz w:val="22"/>
          <w:szCs w:val="22"/>
        </w:rPr>
      </w:pPr>
      <w:r w:rsidRPr="00F55D37">
        <w:rPr>
          <w:rFonts w:ascii="Book Antiqua" w:hAnsi="Book Antiqua" w:cs="Courier New"/>
          <w:sz w:val="22"/>
          <w:szCs w:val="22"/>
        </w:rPr>
        <w:t>In contemporary educational discourse, non</w:t>
      </w:r>
      <w:r w:rsidRPr="00F55D37">
        <w:rPr>
          <w:rFonts w:ascii="Book Antiqua" w:hAnsi="Book Antiqua" w:cs="Courier New"/>
          <w:sz w:val="22"/>
          <w:szCs w:val="22"/>
        </w:rPr>
        <w:noBreakHyphen/>
        <w:t xml:space="preserve">formal education has become a strategic instrument for expanding equitable access to learning, particularly for communities underserved by </w:t>
      </w:r>
      <w:r w:rsidRPr="006A25B7">
        <w:rPr>
          <w:rFonts w:ascii="Book Antiqua" w:hAnsi="Book Antiqua" w:cs="Courier New"/>
          <w:sz w:val="22"/>
          <w:szCs w:val="22"/>
        </w:rPr>
        <w:t>formal schooling. Community Learning Centers (Pusat Kegiatan Belajar Masyarakat or PKBM) are designed not merely as alternative institutions, but as community</w:t>
      </w:r>
      <w:r w:rsidRPr="006A25B7">
        <w:rPr>
          <w:rFonts w:ascii="Book Antiqua" w:hAnsi="Book Antiqua" w:cs="Courier New"/>
          <w:sz w:val="22"/>
          <w:szCs w:val="22"/>
        </w:rPr>
        <w:noBreakHyphen/>
        <w:t>based ecosystems that integrate literacy, vocational training, and personal development to empower learners across diverse socio</w:t>
      </w:r>
      <w:r w:rsidRPr="006A25B7">
        <w:rPr>
          <w:rFonts w:ascii="Book Antiqua" w:hAnsi="Book Antiqua" w:cs="Courier New"/>
          <w:sz w:val="22"/>
          <w:szCs w:val="22"/>
        </w:rPr>
        <w:noBreakHyphen/>
        <w:t xml:space="preserve">economic backgrounds </w:t>
      </w:r>
      <w:r w:rsidRPr="006A25B7">
        <w:rPr>
          <w:rFonts w:ascii="Book Antiqua" w:hAnsi="Book Antiqua" w:cs="Courier New"/>
          <w:sz w:val="22"/>
          <w:szCs w:val="22"/>
        </w:rPr>
        <w:fldChar w:fldCharType="begin" w:fldLock="1"/>
      </w:r>
      <w:r w:rsidRPr="006A25B7">
        <w:rPr>
          <w:rFonts w:ascii="Book Antiqua" w:hAnsi="Book Antiqua" w:cs="Courier New"/>
          <w:sz w:val="22"/>
          <w:szCs w:val="22"/>
        </w:rPr>
        <w:instrText>ADDIN CSL_CITATION {"citationItems":[{"id":"ITEM-1","itemData":{"DOI":"10.37081/ed.v11i3.5009","ISSN":"2527-4295","abstract":"Tujuan dari penelitian ini yaitu untuk mengkaji model pembelajaran di PKBM Merah Putih Kecamatan Karangploso Kabupaten Malang. Penelitian ini menggunakan Metode pendekatan deskriptif kualitatif. Lokasi penelitian yaitu di PKBM Merah Putih di Kecamatan Karangploso Kabupaten Malang. Adapun hasil dari penelitian ini yaitu 1) Model pembelajaran yang digunakan di PKBM Merah Putih yaitu model pembelajaran mandiri berbasis modul. 2) Media pembelajaran yang digunakan di PKBM Merah putih yaitu peralatan menulis juga aplikasi pembelajaran untuk belajar mandiri secara online yaitu aplikasi setara daring, yaitu aplikasi pembelajaran untuk pendidikan kesetaraan. 3) Motivasi belajar peserta didik didapatkan dari model pembelajaran dan juga media pembelajaran yang bervariasi dari para pengajar","author":[{"dropping-particle":"","family":"Wati","given":"Dewi Retno","non-dropping-particle":"","parse-names":false,"suffix":""},{"dropping-particle":"","family":"Khotimah","given":"Khusnul","non-dropping-particle":"","parse-names":false,"suffix":""}],"container-title":"Jurnal Education and Development","id":"ITEM-1","issue":"3","issued":{"date-parts":[["2023"]]},"page":"188-192","title":"Model Pembelajaran Di Pkbm Merah Putih Kecamatan Karangploso Kabupaten Malang","type":"article-journal","volume":"11"},"uris":["http://www.mendeley.com/documents/?uuid=880126d5-c3ba-4d21-a378-53a35d790ef8"]}],"mendeley":{"formattedCitation":"(Wati &amp; Khotimah, 2023)","plainTextFormattedCitation":"(Wati &amp; Khotimah, 2023)","previouslyFormattedCitation":"(Wati &amp; Khotimah, 2023)"},"properties":{"noteIndex":0},"schema":"https://github.com/citation-style-language/schema/raw/master/csl-citation.json"}</w:instrText>
      </w:r>
      <w:r w:rsidRPr="006A25B7">
        <w:rPr>
          <w:rFonts w:ascii="Book Antiqua" w:hAnsi="Book Antiqua" w:cs="Courier New"/>
          <w:sz w:val="22"/>
          <w:szCs w:val="22"/>
        </w:rPr>
        <w:fldChar w:fldCharType="separate"/>
      </w:r>
      <w:r w:rsidRPr="006A25B7">
        <w:rPr>
          <w:rFonts w:ascii="Book Antiqua" w:hAnsi="Book Antiqua" w:cs="Courier New"/>
          <w:noProof/>
          <w:sz w:val="22"/>
          <w:szCs w:val="22"/>
        </w:rPr>
        <w:t>(</w:t>
      </w:r>
      <w:hyperlink w:anchor="Wati" w:history="1">
        <w:r w:rsidRPr="006A25B7">
          <w:rPr>
            <w:rStyle w:val="Hyperlink"/>
            <w:rFonts w:ascii="Book Antiqua" w:hAnsi="Book Antiqua" w:cs="Courier New"/>
            <w:noProof/>
            <w:sz w:val="22"/>
            <w:szCs w:val="22"/>
            <w:u w:val="none"/>
          </w:rPr>
          <w:t>Wati &amp; Khotimah, 2023</w:t>
        </w:r>
      </w:hyperlink>
      <w:r w:rsidRPr="006A25B7">
        <w:rPr>
          <w:rFonts w:ascii="Book Antiqua" w:hAnsi="Book Antiqua" w:cs="Courier New"/>
          <w:noProof/>
          <w:sz w:val="22"/>
          <w:szCs w:val="22"/>
        </w:rPr>
        <w:t>)</w:t>
      </w:r>
      <w:r w:rsidRPr="006A25B7">
        <w:rPr>
          <w:rFonts w:ascii="Book Antiqua" w:hAnsi="Book Antiqua" w:cs="Courier New"/>
          <w:sz w:val="22"/>
          <w:szCs w:val="22"/>
        </w:rPr>
        <w:fldChar w:fldCharType="end"/>
      </w:r>
    </w:p>
    <w:p w14:paraId="4DB73DD2" w14:textId="1DE8C010" w:rsidR="008B2CFB" w:rsidRPr="006A25B7" w:rsidRDefault="0033441B" w:rsidP="00F55D37">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 xml:space="preserve">Their sustainability, however, is highly dependent on the leadership capacity of PKBM heads in fostering partnerships with local stakeholders. At the policy level, PKBM are mandated to support inclusive education and community empowerment, emphasizing contextual relevance, participatory governance, and adaptability to local needs. Indicators of effective PKBM management include clear vision and mission, optimal resource utilization, active educator involvement, and collaborative engagement with community leaders and organizations </w:t>
      </w:r>
      <w:r w:rsidRPr="006A25B7">
        <w:rPr>
          <w:rFonts w:ascii="Book Antiqua" w:hAnsi="Book Antiqua" w:cs="Courier New"/>
          <w:sz w:val="22"/>
          <w:szCs w:val="22"/>
        </w:rPr>
        <w:fldChar w:fldCharType="begin" w:fldLock="1"/>
      </w:r>
      <w:r w:rsidRPr="006A25B7">
        <w:rPr>
          <w:rFonts w:ascii="Book Antiqua" w:hAnsi="Book Antiqua" w:cs="Courier New"/>
          <w:sz w:val="22"/>
          <w:szCs w:val="22"/>
        </w:rPr>
        <w:instrText>ADDIN CSL_CITATION {"citationItems":[{"id":"ITEM-1","itemData":{"abstract":"Efektivitas kepemimpinan ketua PKBM dalam peningkatan mutu layanan pembelajaran. Pokok permasalahan penelitiann dalam tesis ini adalah kepemimpinan keetua PKBM dalam meningkatkan mutu layanan pembelajaran di Kabupaten Purwakarta. Tujuan dari penelitian ini adalah untuk mendeskripsikan peran ketua PKBM dalam meningkatkan mutu layanan pembelajaran. Jenis penelitian ini adalah penelitian kualitatif. Penelitian dilakukan pada PKBM di Kabupaten Purwakarta. Teknik pengumpulan data dengan observasi berpartisipasi, wawancara dan dokumentasi. Teknik analisis data dengan tiga komponen pokok yaitu reduksi data, sajian data, dan penarikan simpulan dengan verifikasinya. Efektivitas kepemimpinan ketua PKBM dalam meningkatkan mutu layanan pembelajaran di Kabupaten Purwakarta sudah cukup baik. Hal ini didukung dengan ketersediaan dokumen pengelolaan di PKBM serta berbagai prestasi kejuaraan lomba lembaga nonformal. Dalam peningkatan mutu layanan pembelajaran ketua PKBM memiliki peran yang sangat penting untuk mnyusun rencana sesuai peraturan perundangan, melaksanakan kegiatan peningkatan sarana dan prasarana kegiatan serta kompetensi tutor, melaksanakan evaluasi setiap kegiatan dan menyusun rencana tindak lanjut sesuai dengan hasil valuasi kegiatan. . Kendala dalam pengelolaan PKBM adalah keterbatasan pendanaan, minimnya sarana penunjang life skill warga belajar serta kompetensi tutor yang belum sesuai dengan bidangnya. Agar pengelolan PKBM di masa yang akan datang lebih baik hendaknya ketua PKBM lebih memaksimalkan jalinan kerjasama dengan lembaga lain atau stakeholder yang mendukung pada pencapaian tujuan PKBM.","author":[{"dropping-particle":"","family":"Rosadi","given":"Rd. Moh. Dadi","non-dropping-particle":"","parse-names":false,"suffix":""}],"id":"ITEM-1","issued":{"date-parts":[["2021"]]},"publisher":"Universitas Pendidikan Indonesia","title":"EFEKTIVITAS KEPEMIMPINAN KETUA PKBM DALAM PENINGKATAN MUTU LAYANAN PEMBELAJARAN","type":"thesis"},"uris":["http://www.mendeley.com/documents/?uuid=1c8d6cd8-969f-438e-8432-c872b28648a2"]},{"id":"ITEM-2","itemData":{"abstract":"Peran dan Strategi Kepala PKBM (Pusat Kegiatan Belajar Masyarakat) dalam Peningkatan Mutu Pendidikan Non Formal Program Pakat C (studi Deskripsi tentang PKBM Bangun Rejo dan PKBM Citra Bangsa) ” Tesis Program Pascasarjana Institut Agama Islam Negeri Samarinda. Penelitian ini di bimbing oleh Dr. H. Mukhamad Ilyasin, M.Pd selaku pembimbing I dan Dr. Puriyadi, M.Si selaku pembimbing II pada penelitian Tesis ini. Latar belakang penelitian peranan kepala PKBM Bangun Rejo dan kepala PKBM Citra Bangsa dalam meningkatkan mutu pendidikan program paket C di non formal yang berdampak positif bagi perkembangan ilmu pengetahuan terutama tenaga-tenaga terampil yang memiliki skill sehingga mampu mewujudkan masyarakat yang cerdas, ber integritas maupun mampu meningkatkan ekonomi kreatif, yang pada akhirnya akan mampu meningkatkan kualitas sumber daya manusia. Metode penelitian kualitatif, berdasarkan jenisnya penelitian lapangan (filead research) dengan desain penelitian bersifat deskriptif dengan subjek penelitian kepala PKBM BAnugn Rejo dan PKBM Citra Bangsa, Tutor dan Warga Belajar baik di PKBM BAnugn Rejo dan PKBM Citra Bangsa dengan menggunakan metode pengumpulan data menggunakan metode observasi, wawancara dan dokumentasi. Teknis analisis data menggunakan model analisis Milles and Huberman serta pengecekan keabsahan data menggunakan teknik triangulasi data. Hasil penelitian ini diketahui Peran Kepala PKBM (Pusat Kegiatan Belajar Masyarakat) dalam Strategi Peningkatan Mutu Pendidikan Non Formal Program Pakat C berjalan dengan baik. Hal ini terlihat dari bagaimana peran kepala PKBM dalam strategi peningkatan mutu pendidikan non formal. Peranan kepala PKBM Bangun Rejo dan PKBM Citra Bangsa sebagai berikut: 1) Peran Kepala PKBM berperan sebagai supervisor, mengevaluasi segala kegaian di PKBM, mengedukasi untuk meningkatkan kompetensi tutor, memberi contoh secara langsung, mendelegasiakn tugas dan tanggung jawab, serta menciptakan lingkungan kerja yang kondusip di PKBM, 2) Strategi kepala PKBM dalam meningkatkan mutu pendidikan non formal program paket C dengan, membangkitkan semangat kerja, menumbuhkan rasa memiliki, meningkatkan kerjasama dengan lembaga lain, memberikan motivasi kepala tutor dan wrga belajar, dan melakukan komunikasi persuasif, 3) hambatan yang dihadapi kepala PKBM yaitu: kualitas sumber daya manusia yang dimiliki PKBM tersebut, keterbatasan sumber daya sara dan prasarana, dan keterbatasan sumber daya pembiayaan PKBM.","author":[{"dropping-particle":"","family":"Supriyanto","given":"","non-dropping-particle":"","parse-names":false,"suffix":""}],"id":"ITEM-2","issued":{"date-parts":[["2019"]]},"publisher":"Universitas Islam Negeri Sultan Aji Muhammad Idris Samarinda","title":"Peran dan Strategi Kepala PKBM (Pusat Kegiatan Belajar Masyarakat) dalam Peningkatan Mutu Pendidikan Non Formal Program Pakat C (studi Deskripsi tentang PKBM Bangun Rejo dan PKBM Citra Bangsa)","type":"thesis"},"uris":["http://www.mendeley.com/documents/?uuid=886ad188-5c99-4fc5-b565-4f438a676903"]}],"mendeley":{"formattedCitation":"(Rosadi, 2021; Supriyanto, 2019)","plainTextFormattedCitation":"(Rosadi, 2021; Supriyanto, 2019)","previouslyFormattedCitation":"(Adam, 2024; Rosadi, 2021)"},"properties":{"noteIndex":0},"schema":"https://github.com/citation-style-language/schema/raw/master/csl-citation.json"}</w:instrText>
      </w:r>
      <w:r w:rsidRPr="006A25B7">
        <w:rPr>
          <w:rFonts w:ascii="Book Antiqua" w:hAnsi="Book Antiqua" w:cs="Courier New"/>
          <w:sz w:val="22"/>
          <w:szCs w:val="22"/>
        </w:rPr>
        <w:fldChar w:fldCharType="separate"/>
      </w:r>
      <w:r w:rsidRPr="006A25B7">
        <w:rPr>
          <w:rFonts w:ascii="Book Antiqua" w:hAnsi="Book Antiqua" w:cs="Courier New"/>
          <w:noProof/>
          <w:sz w:val="22"/>
          <w:szCs w:val="22"/>
        </w:rPr>
        <w:t>(</w:t>
      </w:r>
      <w:hyperlink w:anchor="Rosadi" w:history="1">
        <w:r w:rsidRPr="006A25B7">
          <w:rPr>
            <w:rStyle w:val="Hyperlink"/>
            <w:rFonts w:ascii="Book Antiqua" w:hAnsi="Book Antiqua" w:cs="Courier New"/>
            <w:noProof/>
            <w:sz w:val="22"/>
            <w:szCs w:val="22"/>
            <w:u w:val="none"/>
          </w:rPr>
          <w:t>Rosadi, 2021</w:t>
        </w:r>
      </w:hyperlink>
      <w:r w:rsidRPr="006A25B7">
        <w:rPr>
          <w:rFonts w:ascii="Book Antiqua" w:hAnsi="Book Antiqua" w:cs="Courier New"/>
          <w:noProof/>
          <w:sz w:val="22"/>
          <w:szCs w:val="22"/>
        </w:rPr>
        <w:t xml:space="preserve">; </w:t>
      </w:r>
      <w:hyperlink w:anchor="Supriyanto" w:history="1">
        <w:r w:rsidRPr="006A25B7">
          <w:rPr>
            <w:rStyle w:val="Hyperlink"/>
            <w:rFonts w:ascii="Book Antiqua" w:hAnsi="Book Antiqua" w:cs="Courier New"/>
            <w:noProof/>
            <w:sz w:val="22"/>
            <w:szCs w:val="22"/>
            <w:u w:val="none"/>
          </w:rPr>
          <w:t>Supriyanto, 2019</w:t>
        </w:r>
      </w:hyperlink>
      <w:r w:rsidRPr="006A25B7">
        <w:rPr>
          <w:rFonts w:ascii="Book Antiqua" w:hAnsi="Book Antiqua" w:cs="Courier New"/>
          <w:noProof/>
          <w:sz w:val="22"/>
          <w:szCs w:val="22"/>
        </w:rPr>
        <w:t>)</w:t>
      </w:r>
      <w:r w:rsidRPr="006A25B7">
        <w:rPr>
          <w:rFonts w:ascii="Book Antiqua" w:hAnsi="Book Antiqua" w:cs="Courier New"/>
          <w:sz w:val="22"/>
          <w:szCs w:val="22"/>
        </w:rPr>
        <w:fldChar w:fldCharType="end"/>
      </w:r>
      <w:r w:rsidRPr="006A25B7">
        <w:rPr>
          <w:rFonts w:ascii="Book Antiqua" w:hAnsi="Book Antiqua" w:cs="Courier New"/>
          <w:sz w:val="22"/>
          <w:szCs w:val="22"/>
        </w:rPr>
        <w:t>. Yet, practice in the field reveals persistent challenges: limited infrastructure, insufficient technological integration, and uneven participation of educators in program planning. These gaps highlight the need for leadership strategies that balance operational efficiency with innovation and community collaboration.</w:t>
      </w:r>
    </w:p>
    <w:p w14:paraId="5DFD55A2" w14:textId="064D9D28" w:rsidR="008B2CFB" w:rsidRPr="006A25B7" w:rsidRDefault="007E3249" w:rsidP="00F55D37">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The urgency of this research arises from the strategic role of PKBM as community</w:t>
      </w:r>
      <w:r w:rsidRPr="006A25B7">
        <w:rPr>
          <w:rFonts w:ascii="Cambria Math" w:hAnsi="Cambria Math" w:cs="Cambria Math"/>
          <w:sz w:val="22"/>
          <w:szCs w:val="22"/>
        </w:rPr>
        <w:t>‑</w:t>
      </w:r>
      <w:r w:rsidRPr="006A25B7">
        <w:rPr>
          <w:rFonts w:ascii="Book Antiqua" w:hAnsi="Book Antiqua" w:cs="Courier New"/>
          <w:sz w:val="22"/>
          <w:szCs w:val="22"/>
        </w:rPr>
        <w:t>based institutions that must balance operational efficiency, innovation in learning, and sustainable partnerships with society. Despite their importance in expanding educational access, PKBM continue to face structural and managerial challenges: limited resources, weak technological integration, low educator involvement in program planning, and insufficient collaboration with external stakeholders (</w:t>
      </w:r>
      <w:hyperlink w:anchor="Atieno" w:history="1">
        <w:r w:rsidRPr="006A25B7">
          <w:rPr>
            <w:rStyle w:val="Hyperlink"/>
            <w:rFonts w:ascii="Book Antiqua" w:hAnsi="Book Antiqua" w:cs="Courier New"/>
            <w:sz w:val="22"/>
            <w:szCs w:val="22"/>
            <w:u w:val="none"/>
          </w:rPr>
          <w:t>Atieno, 2019</w:t>
        </w:r>
      </w:hyperlink>
      <w:r w:rsidRPr="006A25B7">
        <w:rPr>
          <w:rFonts w:ascii="Book Antiqua" w:hAnsi="Book Antiqua" w:cs="Courier New"/>
          <w:sz w:val="22"/>
          <w:szCs w:val="22"/>
        </w:rPr>
        <w:t>). These conditions risk reducing the relevance and sustainability of PKBM programs, particularly in addressing diverse community needs. Leadership becomes the central determinant of whether PKBM can transform these challenges into opportunities. Effective leadership is expected to articulate a clear vision, mobilize resources, strengthen educator competence, and foster participatory decision</w:t>
      </w:r>
      <w:r w:rsidRPr="006A25B7">
        <w:rPr>
          <w:rFonts w:ascii="Cambria Math" w:hAnsi="Cambria Math" w:cs="Cambria Math"/>
          <w:sz w:val="22"/>
          <w:szCs w:val="22"/>
        </w:rPr>
        <w:t>‑</w:t>
      </w:r>
      <w:r w:rsidRPr="006A25B7">
        <w:rPr>
          <w:rFonts w:ascii="Book Antiqua" w:hAnsi="Book Antiqua" w:cs="Courier New"/>
          <w:sz w:val="22"/>
          <w:szCs w:val="22"/>
        </w:rPr>
        <w:t>making. Yet, existing practices often reveal gaps between policy frameworks and implementation, where leadership styles tend to be either overly rigid hindering innovation or overly flexible reducing operational effectiveness. This imbalance underscores the need for adaptive and contextual leadership strategies that can harmonize efficiency, innovation, and collaboration with communities.</w:t>
      </w:r>
    </w:p>
    <w:p w14:paraId="5ACB134C" w14:textId="408710E6" w:rsidR="008B2CFB" w:rsidRPr="006A25B7" w:rsidRDefault="007E3249" w:rsidP="00F55D37">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 xml:space="preserve">Previous studies on PKBM have tended to examine isolated aspects such as learner motivation </w:t>
      </w:r>
      <w:r w:rsidRPr="006A25B7">
        <w:rPr>
          <w:rFonts w:ascii="Book Antiqua" w:hAnsi="Book Antiqua" w:cs="Courier New"/>
          <w:sz w:val="22"/>
          <w:szCs w:val="22"/>
        </w:rPr>
        <w:fldChar w:fldCharType="begin" w:fldLock="1"/>
      </w:r>
      <w:r w:rsidRPr="006A25B7">
        <w:rPr>
          <w:rFonts w:ascii="Book Antiqua" w:hAnsi="Book Antiqua" w:cs="Courier New"/>
          <w:sz w:val="22"/>
          <w:szCs w:val="22"/>
        </w:rPr>
        <w:instrText>ADDIN CSL_CITATION {"citationItems":[{"id":"ITEM-1","itemData":{"ISSN":"2622-3368","author":[{"dropping-particle":"","family":"Safitri","given":"Nuriya Ayu","non-dropping-particle":"","parse-names":false,"suffix":""},{"dropping-particle":"","family":"Santoso","given":"Bowo","non-dropping-particle":"","parse-names":false,"suffix":""}],"container-title":"Jurnal E-Bis","id":"ITEM-1","issue":"2","issued":{"date-parts":[["2022"]]},"page":"595-605","title":"Pengaruh kesejahteraan psikologis, lingkungan kerja fisik, dan disiplin kerja terhadap kepuasan kerja guru tidak tetap di SMK Negeri 1 Nganjuk","type":"article-journal","volume":"6"},"uris":["http://www.mendeley.com/documents/?uuid=f9646393-8c7d-47a2-b1dd-6f574c69ea7b"]}],"mendeley":{"formattedCitation":"(Safitri &amp; Santoso, 2022)","plainTextFormattedCitation":"(Safitri &amp; Santoso, 2022)","previouslyFormattedCitation":"(Safitri &amp; Santoso, 2022)"},"properties":{"noteIndex":0},"schema":"https://github.com/citation-style-language/schema/raw/master/csl-citation.json"}</w:instrText>
      </w:r>
      <w:r w:rsidRPr="006A25B7">
        <w:rPr>
          <w:rFonts w:ascii="Book Antiqua" w:hAnsi="Book Antiqua" w:cs="Courier New"/>
          <w:sz w:val="22"/>
          <w:szCs w:val="22"/>
        </w:rPr>
        <w:fldChar w:fldCharType="separate"/>
      </w:r>
      <w:r w:rsidRPr="006A25B7">
        <w:rPr>
          <w:rFonts w:ascii="Book Antiqua" w:hAnsi="Book Antiqua" w:cs="Courier New"/>
          <w:noProof/>
          <w:sz w:val="22"/>
          <w:szCs w:val="22"/>
        </w:rPr>
        <w:t>(</w:t>
      </w:r>
      <w:hyperlink w:anchor="Safitri" w:history="1">
        <w:r w:rsidRPr="006A25B7">
          <w:rPr>
            <w:rStyle w:val="Hyperlink"/>
            <w:rFonts w:ascii="Book Antiqua" w:hAnsi="Book Antiqua" w:cs="Courier New"/>
            <w:noProof/>
            <w:sz w:val="22"/>
            <w:szCs w:val="22"/>
            <w:u w:val="none"/>
          </w:rPr>
          <w:t>Safitri &amp; Santoso, 2022</w:t>
        </w:r>
      </w:hyperlink>
      <w:r w:rsidRPr="006A25B7">
        <w:rPr>
          <w:rFonts w:ascii="Book Antiqua" w:hAnsi="Book Antiqua" w:cs="Courier New"/>
          <w:noProof/>
          <w:sz w:val="22"/>
          <w:szCs w:val="22"/>
        </w:rPr>
        <w:t>)</w:t>
      </w:r>
      <w:r w:rsidRPr="006A25B7">
        <w:rPr>
          <w:rFonts w:ascii="Book Antiqua" w:hAnsi="Book Antiqua" w:cs="Courier New"/>
          <w:sz w:val="22"/>
          <w:szCs w:val="22"/>
        </w:rPr>
        <w:fldChar w:fldCharType="end"/>
      </w:r>
      <w:r w:rsidRPr="006A25B7">
        <w:rPr>
          <w:rFonts w:ascii="Book Antiqua" w:hAnsi="Book Antiqua" w:cs="Courier New"/>
          <w:sz w:val="22"/>
          <w:szCs w:val="22"/>
        </w:rPr>
        <w:t xml:space="preserve">, innovation in non-formal pedagogy </w:t>
      </w:r>
      <w:r w:rsidRPr="006A25B7">
        <w:rPr>
          <w:rFonts w:ascii="Book Antiqua" w:hAnsi="Book Antiqua" w:cs="Courier New"/>
          <w:sz w:val="22"/>
          <w:szCs w:val="22"/>
        </w:rPr>
        <w:fldChar w:fldCharType="begin" w:fldLock="1"/>
      </w:r>
      <w:r w:rsidRPr="006A25B7">
        <w:rPr>
          <w:rFonts w:ascii="Book Antiqua" w:hAnsi="Book Antiqua" w:cs="Courier New"/>
          <w:sz w:val="22"/>
          <w:szCs w:val="22"/>
        </w:rPr>
        <w:instrText>ADDIN CSL_CITATION {"citationItems":[{"id":"ITEM-1","itemData":{"DOI":"10.24114/gr.v13i01.55826","ISBN":"2301-5942","abstract":"AbstractThe learning of Arts and Culture plays a crucial role in shaping students' creativity, cultural understanding, and art appreciation. Despite its significance, Arts and Culture education faces several challenges, including insufficient school support, limited resources, technological challenges, and the availability of qualified teachers. Therefore, this research aims to explore the implementation of formative-summative evaluation models as an effort to enhance the quality of Arts and Culture education. The study employs a literature review method with four stages, involving the development of tools and equipment, compilation of bibliography, reading and noting research materials, and content and descriptive analysis. The results of the analysis reveal that the implementation of formative-summative evaluation models plays a central role in improving Arts and Culture education. Formative evaluation provides continuous feedback and identifies the need for improvement, while summative evaluation offers an overall picture of students' achievements. The application of this evaluation model involves the development of evaluation instruments, monitoring the learning process, adjusting teaching methods, providing feedback to students, identifying the need for improvement, and developing teaching and learning programs. The conclusions drawn from this study encompass the variation in the implementation of Arts and Culture education, the central role of teachers' creativity, and the positive impact of formative-summative evaluation models. Suggestions for further research involve a comparative study between schools, a focus on teacher qualifications, and further investigation into the influence of evaluation models on students' achievements and interest in the arts. Thus, the implementation of formative-summative evaluation models becomes an effective strategy in enhancing the quality of Arts and Culture education, contributing positively to students' creative development and cultural understanding.Keywords: formative-summative evaluation, arts and cultureAbstrakPembelajaran Seni Budaya memiliki peran krusial dalam membentuk kreativitas, pemahaman budaya, dan apresiasi seni siswa. Meskipun penting, pembelajaran Seni Budaya dihadapkan pada sejumlah tantangan, termasuk minimnya dukungan sekolah, keterbatasan sumber daya, tantangan teknologi, dan ketersediaan guru yang kompeten. Oleh karena itu, penelitian ini bertujuan untuk mengeksplorasi implementasi model …","author":[{"dropping-particle":"","family":"Elpalina","given":"Srimutia","non-dropping-particle":"","parse-names":false,"suffix":""},{"dropping-particle":"","family":"Ambiyar","given":"A","non-dropping-particle":"","parse-names":false,"suffix":""},{"dropping-particle":"","family":"Agustina","given":"Agustina","non-dropping-particle":"","parse-names":false,"suffix":""},{"dropping-particle":"","family":"Azis","given":"A","non-dropping-particle":"","parse-names":false,"suffix":""}],"container-title":"Gorga : Jurnal Seni Rupa","id":"ITEM-1","issued":{"date-parts":[["2024"]]},"note":"Cited By (since 2024): 1","title":"IMPLEMENTASI MODEL EVALUASI FORMATIF-SUMATIF DALAM MENINGKATKAN PEMBELAJARAN SENI BUDAYA","type":"article"},"uris":["http://www.mendeley.com/documents/?uuid=1f63f37c-e431-4e7d-af29-e37ca46cbf18"]}],"mendeley":{"formattedCitation":"(Elpalina et al., 2024)","plainTextFormattedCitation":"(Elpalina et al., 2024)","previouslyFormattedCitation":"(Elpalina et al., 2024)"},"properties":{"noteIndex":0},"schema":"https://github.com/citation-style-language/schema/raw/master/csl-citation.json"}</w:instrText>
      </w:r>
      <w:r w:rsidRPr="006A25B7">
        <w:rPr>
          <w:rFonts w:ascii="Book Antiqua" w:hAnsi="Book Antiqua" w:cs="Courier New"/>
          <w:sz w:val="22"/>
          <w:szCs w:val="22"/>
        </w:rPr>
        <w:fldChar w:fldCharType="separate"/>
      </w:r>
      <w:r w:rsidRPr="006A25B7">
        <w:rPr>
          <w:rFonts w:ascii="Book Antiqua" w:hAnsi="Book Antiqua" w:cs="Courier New"/>
          <w:noProof/>
          <w:sz w:val="22"/>
          <w:szCs w:val="22"/>
        </w:rPr>
        <w:t>(</w:t>
      </w:r>
      <w:hyperlink w:anchor="Elpalina" w:history="1">
        <w:r w:rsidRPr="006A25B7">
          <w:rPr>
            <w:rStyle w:val="Hyperlink"/>
            <w:rFonts w:ascii="Book Antiqua" w:hAnsi="Book Antiqua" w:cs="Courier New"/>
            <w:noProof/>
            <w:sz w:val="22"/>
            <w:szCs w:val="22"/>
            <w:u w:val="none"/>
          </w:rPr>
          <w:t>Elpalina et al., 2024</w:t>
        </w:r>
      </w:hyperlink>
      <w:r w:rsidRPr="006A25B7">
        <w:rPr>
          <w:rFonts w:ascii="Book Antiqua" w:hAnsi="Book Antiqua" w:cs="Courier New"/>
          <w:noProof/>
          <w:sz w:val="22"/>
          <w:szCs w:val="22"/>
        </w:rPr>
        <w:t>)</w:t>
      </w:r>
      <w:r w:rsidRPr="006A25B7">
        <w:rPr>
          <w:rFonts w:ascii="Book Antiqua" w:hAnsi="Book Antiqua" w:cs="Courier New"/>
          <w:sz w:val="22"/>
          <w:szCs w:val="22"/>
        </w:rPr>
        <w:fldChar w:fldCharType="end"/>
      </w:r>
      <w:r w:rsidRPr="006A25B7">
        <w:rPr>
          <w:rFonts w:ascii="Book Antiqua" w:hAnsi="Book Antiqua" w:cs="Courier New"/>
          <w:sz w:val="22"/>
          <w:szCs w:val="22"/>
        </w:rPr>
        <w:t xml:space="preserve">, or managerial aspects in isolation </w:t>
      </w:r>
      <w:r w:rsidRPr="006A25B7">
        <w:rPr>
          <w:rFonts w:ascii="Book Antiqua" w:hAnsi="Book Antiqua" w:cs="Courier New"/>
          <w:sz w:val="22"/>
          <w:szCs w:val="22"/>
        </w:rPr>
        <w:fldChar w:fldCharType="begin" w:fldLock="1"/>
      </w:r>
      <w:r w:rsidRPr="006A25B7">
        <w:rPr>
          <w:rFonts w:ascii="Book Antiqua" w:hAnsi="Book Antiqua" w:cs="Courier New"/>
          <w:sz w:val="22"/>
          <w:szCs w:val="22"/>
        </w:rPr>
        <w:instrText>ADDIN CSL_CITATION {"citationItems":[{"id":"ITEM-1","itemData":{"DOI":"10.32832/JM-UIKA.V12I1.3950","abstract":"Penelitian ini bertujuan untuk mengetahui menganalisis: (1) pengaruh motivasi terhadap kinerja guru ; (2) pengaruh komitmen organisasi terhadap kinerja guru ; (3) pengaruh kompetensi terhadap kinerja guru; (4) pengaruh secara simultan motivasi, komitmen organisasi, dan kompetensi terhadap kinerja guru. Jenis penelitian ini adalah kuantitatif dengan pendekatan expost facto . Teknik analisis yang digunakan adalah regresi berganda dengan SPSS. Penelitian ini dilakukan pada SMP Negeri yang ada di Liukang Tangayya, Kabupaten Pangkep dengan menggunakan sampel sebanyak 30 orang guru. Hasil penelitian menunjukkan bahwa; (1) motivasi berpengaruh positif dan signifikan terhadap kinerja guru; (2) komitmen organisasi berpengaruh terhadap kinerja guru; (3) kompetensi berpengaruh terhadap kinerja guru; (4) motivasi, komitmen orgnaisasi dan kompetensi berpengaruh secara simultan terhadap kinerja guru. Temuan ini sebagai masukan bagi kepala sekolah untuk dapat memperhatikan motivasi para guru demi tercapainya tujuan pendidikan","author":[{"dropping-particle":"","family":"Hartini","given":"H","non-dropping-particle":"","parse-names":false,"suffix":""},{"dropping-particle":"","family":"Rahmawati","given":"R","non-dropping-particle":"","parse-names":false,"suffix":""},{"dropping-particle":"","family":"Asmin","given":"Erny Amriani","non-dropping-particle":"","parse-names":false,"suffix":""}],"id":"ITEM-1","issued":{"date-parts":[["2021"]]},"note":"Cited By (since 2021): 24","number-of-pages":"52-65","title":"Motivasi, Komitmen Organisasi, Kompetensi dan Dampaknya Terhadap Kinerja Guru","type":"book","volume":"12"},"uris":["http://www.mendeley.com/documents/?uuid=d0ae6845-4351-4a7b-bd54-6d96f5d6bb55"]}],"mendeley":{"formattedCitation":"(Hartini et al., 2021)","plainTextFormattedCitation":"(Hartini et al., 2021)","previouslyFormattedCitation":"(Hartini et al., 2021)"},"properties":{"noteIndex":0},"schema":"https://github.com/citation-style-language/schema/raw/master/csl-citation.json"}</w:instrText>
      </w:r>
      <w:r w:rsidRPr="006A25B7">
        <w:rPr>
          <w:rFonts w:ascii="Book Antiqua" w:hAnsi="Book Antiqua" w:cs="Courier New"/>
          <w:sz w:val="22"/>
          <w:szCs w:val="22"/>
        </w:rPr>
        <w:fldChar w:fldCharType="separate"/>
      </w:r>
      <w:r w:rsidRPr="006A25B7">
        <w:rPr>
          <w:rFonts w:ascii="Book Antiqua" w:hAnsi="Book Antiqua" w:cs="Courier New"/>
          <w:noProof/>
          <w:sz w:val="22"/>
          <w:szCs w:val="22"/>
        </w:rPr>
        <w:t>(</w:t>
      </w:r>
      <w:hyperlink w:anchor="Hartini" w:history="1">
        <w:r w:rsidRPr="006A25B7">
          <w:rPr>
            <w:rStyle w:val="Hyperlink"/>
            <w:rFonts w:ascii="Book Antiqua" w:hAnsi="Book Antiqua" w:cs="Courier New"/>
            <w:noProof/>
            <w:sz w:val="22"/>
            <w:szCs w:val="22"/>
            <w:u w:val="none"/>
          </w:rPr>
          <w:t>Hartini et al., 2021</w:t>
        </w:r>
      </w:hyperlink>
      <w:r w:rsidRPr="006A25B7">
        <w:rPr>
          <w:rFonts w:ascii="Book Antiqua" w:hAnsi="Book Antiqua" w:cs="Courier New"/>
          <w:noProof/>
          <w:sz w:val="22"/>
          <w:szCs w:val="22"/>
        </w:rPr>
        <w:t>)</w:t>
      </w:r>
      <w:r w:rsidRPr="006A25B7">
        <w:rPr>
          <w:rFonts w:ascii="Book Antiqua" w:hAnsi="Book Antiqua" w:cs="Courier New"/>
          <w:sz w:val="22"/>
          <w:szCs w:val="22"/>
        </w:rPr>
        <w:fldChar w:fldCharType="end"/>
      </w:r>
      <w:r w:rsidRPr="006A25B7">
        <w:rPr>
          <w:rFonts w:ascii="Book Antiqua" w:hAnsi="Book Antiqua" w:cs="Courier New"/>
          <w:sz w:val="22"/>
          <w:szCs w:val="22"/>
        </w:rPr>
        <w:t>. However, these perspectives remain fragmented and do not integrate the interplay between leadership style, educator involvement, and communication strategies. This study addresses that gap by analyzing these dimensions holistically, thereby offering a more comprehensive understanding of PKBM governance.</w:t>
      </w:r>
    </w:p>
    <w:p w14:paraId="71E07275" w14:textId="77777777" w:rsidR="007E3249" w:rsidRPr="006A25B7" w:rsidRDefault="007E3249" w:rsidP="00F55D37">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lastRenderedPageBreak/>
        <w:t>The novelty of this research lies in its multi</w:t>
      </w:r>
      <w:r w:rsidRPr="006A25B7">
        <w:rPr>
          <w:rFonts w:ascii="Book Antiqua" w:hAnsi="Book Antiqua" w:cs="Courier New"/>
          <w:sz w:val="22"/>
          <w:szCs w:val="22"/>
        </w:rPr>
        <w:noBreakHyphen/>
        <w:t>site comparative design, which synthesizes findings from PKBM Merah Putih and PKBM Azka Bamega to propose an adaptive integrative leadership synthesis model. This model demonstrates how participatory internal collaboration and centralized external coordination can complement each other in sustaining community</w:t>
      </w:r>
      <w:r w:rsidRPr="006A25B7">
        <w:rPr>
          <w:rFonts w:ascii="Book Antiqua" w:hAnsi="Book Antiqua" w:cs="Courier New"/>
          <w:sz w:val="22"/>
          <w:szCs w:val="22"/>
        </w:rPr>
        <w:noBreakHyphen/>
        <w:t>responsive PKBM. The study thus contributes theoretically to the discourse on adaptive leadership in non</w:t>
      </w:r>
      <w:r w:rsidRPr="006A25B7">
        <w:rPr>
          <w:rFonts w:ascii="Book Antiqua" w:hAnsi="Book Antiqua" w:cs="Courier New"/>
          <w:sz w:val="22"/>
          <w:szCs w:val="22"/>
        </w:rPr>
        <w:noBreakHyphen/>
        <w:t>formal education governance.</w:t>
      </w:r>
    </w:p>
    <w:p w14:paraId="69DD259C" w14:textId="666C98A6" w:rsidR="009E7C16" w:rsidRPr="006A25B7" w:rsidRDefault="007E4BDE" w:rsidP="00F55D37">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To achieve its objectives, this study addresses three main research questions: how PKBM heads formulate and implement adaptive leadership strategies in building sustainable community partnerships, how educator involvement varies across different leadership orientations, and how communication strategies function as mediating mechanisms in sustaining institutional effectiveness and community engagement. By integrating these questions, the study provides both theoretical and practical contributions to the field of non-formal education leadership. Theoretically, it proposes an Adaptive Integrative Leadership Model that bridges transformational and situational leadership perspectives, demonstrating how participatory internal collaboration and centralized external coordination can be combined in a context-responsive manner. Practically, the study offers actionable insights for PKBM leaders and stakeholders to design adaptive leadership strategies, strengthen educator involvement, and optimize communication practices in fostering sustainable partnerships. Furthermore, it contributes to policy development by presenting an evidence-based framework to enhance governance effectiveness and responsiveness of PKBM within diverse socio-cultural contexts.</w:t>
      </w:r>
    </w:p>
    <w:p w14:paraId="06274A5C" w14:textId="77777777" w:rsidR="00124EB7" w:rsidRPr="006A25B7" w:rsidRDefault="00124EB7" w:rsidP="00F55D37">
      <w:pPr>
        <w:spacing w:line="276" w:lineRule="auto"/>
        <w:rPr>
          <w:rFonts w:ascii="Book Antiqua" w:hAnsi="Book Antiqua"/>
          <w:sz w:val="22"/>
          <w:szCs w:val="22"/>
          <w:lang w:val="en-US"/>
        </w:rPr>
      </w:pPr>
    </w:p>
    <w:p w14:paraId="2C5C541C" w14:textId="4BE3A8C9" w:rsidR="00124EB7" w:rsidRPr="006A25B7" w:rsidRDefault="00836049" w:rsidP="00F55D37">
      <w:pPr>
        <w:pStyle w:val="ListParagraph"/>
        <w:shd w:val="clear" w:color="auto" w:fill="FFFFFF"/>
        <w:spacing w:after="0" w:line="360" w:lineRule="auto"/>
        <w:ind w:left="0"/>
        <w:jc w:val="both"/>
        <w:rPr>
          <w:rFonts w:ascii="Book Antiqua" w:hAnsi="Book Antiqua" w:cs="Times New Roman"/>
          <w:b/>
          <w:sz w:val="24"/>
          <w:szCs w:val="24"/>
          <w:lang w:val="en-US"/>
        </w:rPr>
      </w:pPr>
      <w:r w:rsidRPr="006A25B7">
        <w:rPr>
          <w:rFonts w:ascii="Book Antiqua" w:hAnsi="Book Antiqua" w:cs="Times New Roman"/>
          <w:b/>
          <w:sz w:val="24"/>
          <w:szCs w:val="24"/>
          <w:lang w:val="en-US"/>
        </w:rPr>
        <w:t>B. Method</w:t>
      </w:r>
    </w:p>
    <w:p w14:paraId="6A52AE58" w14:textId="77777777" w:rsidR="008B2CFB" w:rsidRPr="006A25B7" w:rsidRDefault="008B2CFB" w:rsidP="00F55D37">
      <w:pPr>
        <w:spacing w:line="276" w:lineRule="auto"/>
        <w:ind w:firstLine="709"/>
        <w:jc w:val="both"/>
        <w:rPr>
          <w:rFonts w:ascii="Book Antiqua" w:hAnsi="Book Antiqua" w:cs="Courier New"/>
          <w:sz w:val="22"/>
          <w:szCs w:val="22"/>
        </w:rPr>
      </w:pPr>
      <w:r w:rsidRPr="006A25B7">
        <w:rPr>
          <w:rFonts w:ascii="Book Antiqua" w:hAnsi="Book Antiqua" w:cs="Courier New"/>
          <w:sz w:val="22"/>
          <w:szCs w:val="22"/>
        </w:rPr>
        <w:t>This study employed a descriptive qualitative approach designed to explore in depth the leadership strategies of PKBM heads in building community partnerships. The choice of this approach was based on its capacity to capture complex educational phenomena without external manipulation, allowing the researcher to interpret meanings that emerge from authentic experiences of educational actors. Such a design is particularly relevant for examining socio-cultural dynamics, managerial practices, and challenges arising from differences in resources and participation across PKBM.</w:t>
      </w:r>
    </w:p>
    <w:p w14:paraId="00F75C10" w14:textId="1A4EFB40" w:rsidR="008B2CFB" w:rsidRPr="006A25B7" w:rsidRDefault="00923CA9" w:rsidP="00F55D37">
      <w:pPr>
        <w:spacing w:line="276" w:lineRule="auto"/>
        <w:ind w:firstLine="709"/>
        <w:jc w:val="both"/>
        <w:rPr>
          <w:rFonts w:ascii="Book Antiqua" w:hAnsi="Book Antiqua" w:cs="Courier New"/>
          <w:sz w:val="22"/>
          <w:szCs w:val="22"/>
        </w:rPr>
      </w:pPr>
      <w:r w:rsidRPr="006A25B7">
        <w:rPr>
          <w:rFonts w:ascii="Book Antiqua" w:hAnsi="Book Antiqua" w:cs="Courier New"/>
          <w:sz w:val="22"/>
          <w:szCs w:val="22"/>
        </w:rPr>
        <w:t>The research was conducted in two PKBM located in Kotabaru District, South Kalimantan, Indonesia: PKBM Merah Putih and PKBM Azka Bamega. These sites were purposively selected because they represent contrasting conditions. PKBM Merah Putih emphasizes participatory leadership and educator involvement, yet faces limitations in technological integration. PKBM Azka Bamega applies centralized leadership, strong in community partnerships, but challenged by low educator participation in program planning. Data collection was carried out over six months (July 2025–January 2026), providing sufficient time for observation, interviews, and documentation.</w:t>
      </w:r>
    </w:p>
    <w:p w14:paraId="05A1C761" w14:textId="77777777" w:rsidR="001A6A50" w:rsidRPr="006A25B7" w:rsidRDefault="001A6A50" w:rsidP="00F55D37">
      <w:pPr>
        <w:spacing w:line="276" w:lineRule="auto"/>
        <w:ind w:firstLine="709"/>
        <w:jc w:val="both"/>
        <w:rPr>
          <w:rFonts w:ascii="Book Antiqua" w:hAnsi="Book Antiqua" w:cs="Courier New"/>
          <w:sz w:val="22"/>
          <w:szCs w:val="22"/>
        </w:rPr>
      </w:pPr>
      <w:r w:rsidRPr="006A25B7">
        <w:rPr>
          <w:rFonts w:ascii="Book Antiqua" w:hAnsi="Book Antiqua" w:cs="Courier New"/>
          <w:sz w:val="22"/>
          <w:szCs w:val="22"/>
        </w:rPr>
        <w:t xml:space="preserve">Participants included PKBM heads, educators, staff members, and community partners directly involved in program implementation. Respondents were identified using a snowball sampling technique, ensuring that individuals with relevant knowledge and </w:t>
      </w:r>
      <w:r w:rsidRPr="006A25B7">
        <w:rPr>
          <w:rFonts w:ascii="Book Antiqua" w:hAnsi="Book Antiqua" w:cs="Courier New"/>
          <w:sz w:val="22"/>
          <w:szCs w:val="22"/>
        </w:rPr>
        <w:lastRenderedPageBreak/>
        <w:t>experience were progressively included. In total, the study involved 2 PKBM heads, 10 educators, 4 staff members, and 6 community partners.</w:t>
      </w:r>
    </w:p>
    <w:p w14:paraId="2535075D" w14:textId="77777777" w:rsidR="001A6A50" w:rsidRPr="006A25B7" w:rsidRDefault="001A6A50" w:rsidP="00F55D37">
      <w:pPr>
        <w:spacing w:line="276" w:lineRule="auto"/>
        <w:ind w:firstLine="851"/>
        <w:jc w:val="both"/>
        <w:rPr>
          <w:rFonts w:ascii="Book Antiqua" w:hAnsi="Book Antiqua" w:cs="Courier New"/>
          <w:sz w:val="22"/>
          <w:szCs w:val="22"/>
        </w:rPr>
      </w:pPr>
    </w:p>
    <w:p w14:paraId="7DD3A84C" w14:textId="7180A854" w:rsidR="001A6A50" w:rsidRPr="006A25B7" w:rsidRDefault="001A6A50" w:rsidP="00F55D37">
      <w:pPr>
        <w:spacing w:line="360" w:lineRule="auto"/>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 xml:space="preserve">Table </w:t>
      </w:r>
      <w:r w:rsidR="00DC3CAE" w:rsidRPr="006A25B7">
        <w:rPr>
          <w:rFonts w:ascii="Book Antiqua" w:eastAsiaTheme="minorHAnsi" w:hAnsi="Book Antiqua" w:cstheme="minorBidi"/>
          <w:b/>
          <w:bCs/>
          <w:kern w:val="2"/>
          <w:sz w:val="20"/>
          <w:szCs w:val="20"/>
          <w14:ligatures w14:val="standardContextual"/>
        </w:rPr>
        <w:t>1</w:t>
      </w:r>
      <w:r w:rsidRPr="006A25B7">
        <w:rPr>
          <w:rFonts w:ascii="Book Antiqua" w:eastAsiaTheme="minorHAnsi" w:hAnsi="Book Antiqua" w:cstheme="minorBidi"/>
          <w:b/>
          <w:bCs/>
          <w:kern w:val="2"/>
          <w:sz w:val="20"/>
          <w:szCs w:val="20"/>
          <w14:ligatures w14:val="standardContextual"/>
        </w:rPr>
        <w:t xml:space="preserve">. </w:t>
      </w:r>
      <w:r w:rsidRPr="006A25B7">
        <w:rPr>
          <w:rFonts w:ascii="Book Antiqua" w:eastAsiaTheme="minorHAnsi" w:hAnsi="Book Antiqua" w:cstheme="minorBidi"/>
          <w:kern w:val="2"/>
          <w:sz w:val="20"/>
          <w:szCs w:val="20"/>
          <w14:ligatures w14:val="standardContextual"/>
        </w:rPr>
        <w:t>Participant Profile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62"/>
        <w:gridCol w:w="2083"/>
        <w:gridCol w:w="2005"/>
        <w:gridCol w:w="2066"/>
      </w:tblGrid>
      <w:tr w:rsidR="00F55D37" w:rsidRPr="006A25B7" w14:paraId="1FC114C4" w14:textId="77777777" w:rsidTr="00DC3CAE">
        <w:trPr>
          <w:jc w:val="center"/>
        </w:trPr>
        <w:tc>
          <w:tcPr>
            <w:tcW w:w="0" w:type="auto"/>
            <w:vAlign w:val="center"/>
          </w:tcPr>
          <w:p w14:paraId="2E4100FD" w14:textId="71ED20C3" w:rsidR="00F55D37" w:rsidRPr="006A25B7" w:rsidRDefault="00F55D37" w:rsidP="00F55D37">
            <w:pPr>
              <w:spacing w:line="360" w:lineRule="auto"/>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Code</w:t>
            </w:r>
          </w:p>
        </w:tc>
        <w:tc>
          <w:tcPr>
            <w:tcW w:w="0" w:type="auto"/>
            <w:vAlign w:val="center"/>
          </w:tcPr>
          <w:p w14:paraId="0ECFAE79" w14:textId="310ECE1B" w:rsidR="00F55D37" w:rsidRPr="006A25B7" w:rsidRDefault="00F55D37" w:rsidP="00F55D37">
            <w:pPr>
              <w:spacing w:line="360" w:lineRule="auto"/>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Position</w:t>
            </w:r>
          </w:p>
        </w:tc>
        <w:tc>
          <w:tcPr>
            <w:tcW w:w="0" w:type="auto"/>
            <w:vAlign w:val="center"/>
          </w:tcPr>
          <w:p w14:paraId="50651326" w14:textId="20059FA0" w:rsidR="00F55D37" w:rsidRPr="006A25B7" w:rsidRDefault="00F55D37" w:rsidP="00DC3CAE">
            <w:pPr>
              <w:spacing w:line="360" w:lineRule="auto"/>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Years of Experience</w:t>
            </w:r>
          </w:p>
        </w:tc>
        <w:tc>
          <w:tcPr>
            <w:tcW w:w="0" w:type="auto"/>
            <w:vAlign w:val="center"/>
          </w:tcPr>
          <w:p w14:paraId="509C85AD" w14:textId="12C99159" w:rsidR="00F55D37" w:rsidRPr="006A25B7" w:rsidRDefault="00F55D37" w:rsidP="00F55D37">
            <w:pPr>
              <w:spacing w:line="360" w:lineRule="auto"/>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Institution</w:t>
            </w:r>
          </w:p>
        </w:tc>
      </w:tr>
      <w:tr w:rsidR="00F55D37" w:rsidRPr="006A25B7" w14:paraId="528FF197" w14:textId="77777777" w:rsidTr="00DC3CAE">
        <w:trPr>
          <w:jc w:val="center"/>
        </w:trPr>
        <w:tc>
          <w:tcPr>
            <w:tcW w:w="0" w:type="auto"/>
            <w:vAlign w:val="center"/>
          </w:tcPr>
          <w:p w14:paraId="4D4671A7" w14:textId="59D9BD1A"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H1</w:t>
            </w:r>
          </w:p>
        </w:tc>
        <w:tc>
          <w:tcPr>
            <w:tcW w:w="0" w:type="auto"/>
            <w:vAlign w:val="center"/>
          </w:tcPr>
          <w:p w14:paraId="2282F454" w14:textId="11386A03"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PKBM Head</w:t>
            </w:r>
          </w:p>
        </w:tc>
        <w:tc>
          <w:tcPr>
            <w:tcW w:w="0" w:type="auto"/>
            <w:vAlign w:val="center"/>
          </w:tcPr>
          <w:p w14:paraId="14E3FA22" w14:textId="3C47A738" w:rsidR="00F55D37" w:rsidRPr="006A25B7" w:rsidRDefault="00F55D37" w:rsidP="00DC3CAE">
            <w:pPr>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12</w:t>
            </w:r>
          </w:p>
        </w:tc>
        <w:tc>
          <w:tcPr>
            <w:tcW w:w="0" w:type="auto"/>
            <w:vAlign w:val="center"/>
          </w:tcPr>
          <w:p w14:paraId="08FFA600" w14:textId="23E6D6AD"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PKBM Merah Putih</w:t>
            </w:r>
          </w:p>
        </w:tc>
      </w:tr>
      <w:tr w:rsidR="00F55D37" w:rsidRPr="006A25B7" w14:paraId="0245ECAE" w14:textId="77777777" w:rsidTr="00DC3CAE">
        <w:trPr>
          <w:jc w:val="center"/>
        </w:trPr>
        <w:tc>
          <w:tcPr>
            <w:tcW w:w="0" w:type="auto"/>
            <w:vAlign w:val="center"/>
          </w:tcPr>
          <w:p w14:paraId="77341268" w14:textId="69C681B0"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H2</w:t>
            </w:r>
          </w:p>
        </w:tc>
        <w:tc>
          <w:tcPr>
            <w:tcW w:w="0" w:type="auto"/>
            <w:vAlign w:val="center"/>
          </w:tcPr>
          <w:p w14:paraId="23B316D8" w14:textId="7F6A2AC7"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PKBM Head</w:t>
            </w:r>
          </w:p>
        </w:tc>
        <w:tc>
          <w:tcPr>
            <w:tcW w:w="0" w:type="auto"/>
            <w:vAlign w:val="center"/>
          </w:tcPr>
          <w:p w14:paraId="28802813" w14:textId="26F81F70" w:rsidR="00F55D37" w:rsidRPr="006A25B7" w:rsidRDefault="00F55D37" w:rsidP="00DC3CAE">
            <w:pPr>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10</w:t>
            </w:r>
          </w:p>
        </w:tc>
        <w:tc>
          <w:tcPr>
            <w:tcW w:w="0" w:type="auto"/>
            <w:vAlign w:val="center"/>
          </w:tcPr>
          <w:p w14:paraId="578E1EF1" w14:textId="17DACB01"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PKBM Azka Bamega</w:t>
            </w:r>
          </w:p>
        </w:tc>
      </w:tr>
      <w:tr w:rsidR="00F55D37" w:rsidRPr="006A25B7" w14:paraId="1485A7EF" w14:textId="77777777" w:rsidTr="00DC3CAE">
        <w:trPr>
          <w:jc w:val="center"/>
        </w:trPr>
        <w:tc>
          <w:tcPr>
            <w:tcW w:w="0" w:type="auto"/>
            <w:vAlign w:val="center"/>
          </w:tcPr>
          <w:p w14:paraId="4F957C9E" w14:textId="3FAAAB7F"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T1–T5</w:t>
            </w:r>
          </w:p>
        </w:tc>
        <w:tc>
          <w:tcPr>
            <w:tcW w:w="0" w:type="auto"/>
            <w:vAlign w:val="center"/>
          </w:tcPr>
          <w:p w14:paraId="34DA9617" w14:textId="11820194"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Educators/Tutors</w:t>
            </w:r>
          </w:p>
        </w:tc>
        <w:tc>
          <w:tcPr>
            <w:tcW w:w="0" w:type="auto"/>
            <w:vAlign w:val="center"/>
          </w:tcPr>
          <w:p w14:paraId="40BCAEEC" w14:textId="43834775" w:rsidR="00F55D37" w:rsidRPr="006A25B7" w:rsidRDefault="00F55D37" w:rsidP="00DC3CAE">
            <w:pPr>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5–15</w:t>
            </w:r>
          </w:p>
        </w:tc>
        <w:tc>
          <w:tcPr>
            <w:tcW w:w="0" w:type="auto"/>
            <w:vAlign w:val="center"/>
          </w:tcPr>
          <w:p w14:paraId="218F60EA" w14:textId="1E59324A"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PKBM Merah Putih</w:t>
            </w:r>
          </w:p>
        </w:tc>
      </w:tr>
      <w:tr w:rsidR="00F55D37" w:rsidRPr="006A25B7" w14:paraId="4C88517F" w14:textId="77777777" w:rsidTr="00DC3CAE">
        <w:trPr>
          <w:jc w:val="center"/>
        </w:trPr>
        <w:tc>
          <w:tcPr>
            <w:tcW w:w="0" w:type="auto"/>
            <w:vAlign w:val="center"/>
          </w:tcPr>
          <w:p w14:paraId="668834C5" w14:textId="5EEB121B"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T6–T10</w:t>
            </w:r>
          </w:p>
        </w:tc>
        <w:tc>
          <w:tcPr>
            <w:tcW w:w="0" w:type="auto"/>
            <w:vAlign w:val="center"/>
          </w:tcPr>
          <w:p w14:paraId="125D4535" w14:textId="7B226BC0"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Educators/Tutors</w:t>
            </w:r>
          </w:p>
        </w:tc>
        <w:tc>
          <w:tcPr>
            <w:tcW w:w="0" w:type="auto"/>
            <w:vAlign w:val="center"/>
          </w:tcPr>
          <w:p w14:paraId="1F34BB5A" w14:textId="728C8BB3" w:rsidR="00F55D37" w:rsidRPr="006A25B7" w:rsidRDefault="00F55D37" w:rsidP="00DC3CAE">
            <w:pPr>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4–12</w:t>
            </w:r>
          </w:p>
        </w:tc>
        <w:tc>
          <w:tcPr>
            <w:tcW w:w="0" w:type="auto"/>
            <w:vAlign w:val="center"/>
          </w:tcPr>
          <w:p w14:paraId="45042EE8" w14:textId="14D8420C"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PKBM Azka Bamega</w:t>
            </w:r>
          </w:p>
        </w:tc>
      </w:tr>
      <w:tr w:rsidR="00F55D37" w:rsidRPr="006A25B7" w14:paraId="7B6F73FA" w14:textId="77777777" w:rsidTr="00DC3CAE">
        <w:trPr>
          <w:jc w:val="center"/>
        </w:trPr>
        <w:tc>
          <w:tcPr>
            <w:tcW w:w="0" w:type="auto"/>
            <w:vAlign w:val="center"/>
          </w:tcPr>
          <w:p w14:paraId="24AB5F76" w14:textId="476A8F1D"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S1–S4</w:t>
            </w:r>
          </w:p>
        </w:tc>
        <w:tc>
          <w:tcPr>
            <w:tcW w:w="0" w:type="auto"/>
            <w:vAlign w:val="center"/>
          </w:tcPr>
          <w:p w14:paraId="5D7A020A" w14:textId="5E0133AF"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Staff Members</w:t>
            </w:r>
          </w:p>
        </w:tc>
        <w:tc>
          <w:tcPr>
            <w:tcW w:w="0" w:type="auto"/>
            <w:vAlign w:val="center"/>
          </w:tcPr>
          <w:p w14:paraId="2CAD211C" w14:textId="6F28ACD8" w:rsidR="00F55D37" w:rsidRPr="006A25B7" w:rsidRDefault="00F55D37" w:rsidP="00DC3CAE">
            <w:pPr>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3–8</w:t>
            </w:r>
          </w:p>
        </w:tc>
        <w:tc>
          <w:tcPr>
            <w:tcW w:w="0" w:type="auto"/>
            <w:vAlign w:val="center"/>
          </w:tcPr>
          <w:p w14:paraId="08DC0318" w14:textId="067BC65F"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Both PKBM</w:t>
            </w:r>
          </w:p>
        </w:tc>
      </w:tr>
      <w:tr w:rsidR="00F55D37" w:rsidRPr="006A25B7" w14:paraId="5CABF780" w14:textId="77777777" w:rsidTr="00DC3CAE">
        <w:trPr>
          <w:jc w:val="center"/>
        </w:trPr>
        <w:tc>
          <w:tcPr>
            <w:tcW w:w="0" w:type="auto"/>
            <w:vAlign w:val="center"/>
          </w:tcPr>
          <w:p w14:paraId="7DC129DD" w14:textId="5575CD34"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C1–C6</w:t>
            </w:r>
          </w:p>
        </w:tc>
        <w:tc>
          <w:tcPr>
            <w:tcW w:w="0" w:type="auto"/>
            <w:vAlign w:val="center"/>
          </w:tcPr>
          <w:p w14:paraId="767000C9" w14:textId="234E218E"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Community Partners</w:t>
            </w:r>
          </w:p>
        </w:tc>
        <w:tc>
          <w:tcPr>
            <w:tcW w:w="0" w:type="auto"/>
            <w:vAlign w:val="center"/>
          </w:tcPr>
          <w:p w14:paraId="41DB28D0" w14:textId="0769FA03" w:rsidR="00F55D37" w:rsidRPr="006A25B7" w:rsidRDefault="00F55D37" w:rsidP="00DC3CAE">
            <w:pPr>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7–20</w:t>
            </w:r>
          </w:p>
        </w:tc>
        <w:tc>
          <w:tcPr>
            <w:tcW w:w="0" w:type="auto"/>
            <w:vAlign w:val="center"/>
          </w:tcPr>
          <w:p w14:paraId="0FB98EE7" w14:textId="07A90C20" w:rsidR="00F55D37" w:rsidRPr="006A25B7" w:rsidRDefault="00F55D37" w:rsidP="00F55D37">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Both PKBM</w:t>
            </w:r>
          </w:p>
        </w:tc>
      </w:tr>
    </w:tbl>
    <w:p w14:paraId="7C4AF9F3" w14:textId="77777777" w:rsidR="00F55D37" w:rsidRPr="006A25B7" w:rsidRDefault="00F55D37" w:rsidP="00F55D37">
      <w:pPr>
        <w:spacing w:line="360" w:lineRule="auto"/>
        <w:jc w:val="center"/>
        <w:rPr>
          <w:rFonts w:ascii="Book Antiqua" w:eastAsiaTheme="minorHAnsi" w:hAnsi="Book Antiqua" w:cstheme="minorBidi"/>
          <w:kern w:val="2"/>
          <w:sz w:val="20"/>
          <w:szCs w:val="20"/>
          <w14:ligatures w14:val="standardContextual"/>
        </w:rPr>
      </w:pPr>
    </w:p>
    <w:p w14:paraId="6E169946" w14:textId="77777777" w:rsidR="001A6A50" w:rsidRPr="006A25B7" w:rsidRDefault="001A6A50" w:rsidP="00DC3CAE">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Data were collected through three complementary techniques. In</w:t>
      </w:r>
      <w:r w:rsidRPr="006A25B7">
        <w:rPr>
          <w:rFonts w:ascii="Cambria Math" w:hAnsi="Cambria Math" w:cs="Cambria Math"/>
          <w:sz w:val="22"/>
          <w:szCs w:val="22"/>
        </w:rPr>
        <w:t>‑</w:t>
      </w:r>
      <w:r w:rsidRPr="006A25B7">
        <w:rPr>
          <w:rFonts w:ascii="Book Antiqua" w:hAnsi="Book Antiqua" w:cs="Courier New"/>
          <w:sz w:val="22"/>
          <w:szCs w:val="22"/>
        </w:rPr>
        <w:t>depth interviews, conducted in semi</w:t>
      </w:r>
      <w:r w:rsidRPr="006A25B7">
        <w:rPr>
          <w:rFonts w:ascii="Cambria Math" w:hAnsi="Cambria Math" w:cs="Cambria Math"/>
          <w:sz w:val="22"/>
          <w:szCs w:val="22"/>
        </w:rPr>
        <w:t>‑</w:t>
      </w:r>
      <w:r w:rsidRPr="006A25B7">
        <w:rPr>
          <w:rFonts w:ascii="Book Antiqua" w:hAnsi="Book Antiqua" w:cs="Courier New"/>
          <w:sz w:val="22"/>
          <w:szCs w:val="22"/>
        </w:rPr>
        <w:t>structured format, served as the primary method to elicit perceptions, roles, and practices related to leadership, educator involvement, and community collaboration. Observation was carried out through direct engagement in PKBM activities, enabling the documentation of social interactions among PKBM heads, educators, and learners, as well as the practical application of leadership and partnership strategies. Documentation included official records, reports, organizational structures, and visual materials, which provided historical and contextual evidence. Triangulation of interviews, observations, and documentation ensured comprehensiveness and credibility of the findings.</w:t>
      </w:r>
    </w:p>
    <w:p w14:paraId="7403134E" w14:textId="48FAC462" w:rsidR="001A6A50" w:rsidRPr="006A25B7" w:rsidRDefault="001A6A50" w:rsidP="00DC3CAE">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 xml:space="preserve">To guarantee trustworthiness, the study applied </w:t>
      </w:r>
      <w:hyperlink w:anchor="Lincoln" w:history="1">
        <w:r w:rsidRPr="006A25B7">
          <w:rPr>
            <w:rStyle w:val="Hyperlink"/>
            <w:rFonts w:ascii="Book Antiqua" w:hAnsi="Book Antiqua" w:cs="Courier New"/>
            <w:sz w:val="22"/>
            <w:szCs w:val="22"/>
            <w:u w:val="none"/>
          </w:rPr>
          <w:t xml:space="preserve">Lincoln </w:t>
        </w:r>
        <w:r w:rsidR="00D01D95" w:rsidRPr="006A25B7">
          <w:rPr>
            <w:rStyle w:val="Hyperlink"/>
            <w:rFonts w:ascii="Book Antiqua" w:hAnsi="Book Antiqua" w:cs="Courier New"/>
            <w:sz w:val="22"/>
            <w:szCs w:val="22"/>
            <w:u w:val="none"/>
          </w:rPr>
          <w:t>&amp;</w:t>
        </w:r>
        <w:r w:rsidRPr="006A25B7">
          <w:rPr>
            <w:rStyle w:val="Hyperlink"/>
            <w:rFonts w:ascii="Book Antiqua" w:hAnsi="Book Antiqua" w:cs="Courier New"/>
            <w:sz w:val="22"/>
            <w:szCs w:val="22"/>
            <w:u w:val="none"/>
          </w:rPr>
          <w:t xml:space="preserve"> Guba</w:t>
        </w:r>
      </w:hyperlink>
      <w:r w:rsidR="00D01D95" w:rsidRPr="006A25B7">
        <w:rPr>
          <w:rFonts w:ascii="Book Antiqua" w:hAnsi="Book Antiqua" w:cs="Courier New"/>
          <w:sz w:val="22"/>
          <w:szCs w:val="22"/>
        </w:rPr>
        <w:t xml:space="preserve"> (1985)</w:t>
      </w:r>
      <w:r w:rsidRPr="006A25B7">
        <w:rPr>
          <w:rFonts w:ascii="Book Antiqua" w:hAnsi="Book Antiqua" w:cs="Courier New"/>
          <w:sz w:val="22"/>
          <w:szCs w:val="22"/>
        </w:rPr>
        <w:t xml:space="preserve"> framework. Credibility was maintained through prolonged engagement, triangulation of sources and methods, and member checking. Dependability was ensured by maintaining an audit trail of coding and analysis procedures. Confirmability was strengthened through reflexive notes and peer debriefing to minimize researcher bias. Transferability was supported by providing thick descriptions of the research context, allowing applicability in similar PKBM settings.</w:t>
      </w:r>
    </w:p>
    <w:p w14:paraId="3508815C" w14:textId="588CC406" w:rsidR="001A6A50" w:rsidRPr="006A25B7" w:rsidRDefault="001A6A50" w:rsidP="00DC3CAE">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 xml:space="preserve">Data analysis followed </w:t>
      </w:r>
      <w:hyperlink w:anchor="Miles" w:history="1">
        <w:r w:rsidRPr="006A25B7">
          <w:rPr>
            <w:rStyle w:val="Hyperlink"/>
            <w:rFonts w:ascii="Book Antiqua" w:hAnsi="Book Antiqua" w:cs="Courier New"/>
            <w:sz w:val="22"/>
            <w:szCs w:val="22"/>
            <w:u w:val="none"/>
          </w:rPr>
          <w:t xml:space="preserve">Miles </w:t>
        </w:r>
        <w:r w:rsidR="00D01D95" w:rsidRPr="006A25B7">
          <w:rPr>
            <w:rStyle w:val="Hyperlink"/>
            <w:rFonts w:ascii="Book Antiqua" w:hAnsi="Book Antiqua" w:cs="Courier New"/>
            <w:sz w:val="22"/>
            <w:szCs w:val="22"/>
            <w:u w:val="none"/>
          </w:rPr>
          <w:t>&amp;</w:t>
        </w:r>
        <w:r w:rsidRPr="006A25B7">
          <w:rPr>
            <w:rStyle w:val="Hyperlink"/>
            <w:rFonts w:ascii="Book Antiqua" w:hAnsi="Book Antiqua" w:cs="Courier New"/>
            <w:sz w:val="22"/>
            <w:szCs w:val="22"/>
            <w:u w:val="none"/>
          </w:rPr>
          <w:t xml:space="preserve"> Huberman</w:t>
        </w:r>
      </w:hyperlink>
      <w:r w:rsidRPr="006A25B7">
        <w:rPr>
          <w:rFonts w:ascii="Book Antiqua" w:hAnsi="Book Antiqua" w:cs="Courier New"/>
          <w:sz w:val="22"/>
          <w:szCs w:val="22"/>
        </w:rPr>
        <w:t xml:space="preserve"> (2014) interactive model, which emphasizes iterative cycles of data condensation, data display, and conclusion drawing/verification. Analysis was conducted at two levels. At the single</w:t>
      </w:r>
      <w:r w:rsidRPr="006A25B7">
        <w:rPr>
          <w:rFonts w:ascii="Cambria Math" w:hAnsi="Cambria Math" w:cs="Cambria Math"/>
          <w:sz w:val="22"/>
          <w:szCs w:val="22"/>
        </w:rPr>
        <w:t>‑</w:t>
      </w:r>
      <w:r w:rsidRPr="006A25B7">
        <w:rPr>
          <w:rFonts w:ascii="Book Antiqua" w:hAnsi="Book Antiqua" w:cs="Courier New"/>
          <w:sz w:val="22"/>
          <w:szCs w:val="22"/>
        </w:rPr>
        <w:t>site level, each PKBM was examined independently to uncover distinctive leadership strategies, contextual challenges, and specific practices in building community partnerships. At the cross</w:t>
      </w:r>
      <w:r w:rsidRPr="006A25B7">
        <w:rPr>
          <w:rFonts w:ascii="Cambria Math" w:hAnsi="Cambria Math" w:cs="Cambria Math"/>
          <w:sz w:val="22"/>
          <w:szCs w:val="22"/>
        </w:rPr>
        <w:t>‑</w:t>
      </w:r>
      <w:r w:rsidRPr="006A25B7">
        <w:rPr>
          <w:rFonts w:ascii="Book Antiqua" w:hAnsi="Book Antiqua" w:cs="Courier New"/>
          <w:sz w:val="22"/>
          <w:szCs w:val="22"/>
        </w:rPr>
        <w:t>site level, findings from both PKBM were compared and integrated to identify broader patterns and thematic consistencies, thereby strengthening validity through replication logic.</w:t>
      </w:r>
    </w:p>
    <w:p w14:paraId="2257812A" w14:textId="77777777" w:rsidR="001A6A50" w:rsidRPr="006A25B7" w:rsidRDefault="001A6A50" w:rsidP="00DC3CAE">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The research flow proceeded through sequential stages: orientation, exploration, data analysis, verification, and conclusion. The orientation stage involved initial contact, site selection, and ethical clearance. Exploration consisted of data collection through interviews, observation, and documentation. Data analysis was carried out at both single</w:t>
      </w:r>
      <w:r w:rsidRPr="006A25B7">
        <w:rPr>
          <w:rFonts w:ascii="Cambria Math" w:hAnsi="Cambria Math" w:cs="Cambria Math"/>
          <w:sz w:val="22"/>
          <w:szCs w:val="22"/>
        </w:rPr>
        <w:t>‑</w:t>
      </w:r>
      <w:r w:rsidRPr="006A25B7">
        <w:rPr>
          <w:rFonts w:ascii="Book Antiqua" w:hAnsi="Book Antiqua" w:cs="Courier New"/>
          <w:sz w:val="22"/>
          <w:szCs w:val="22"/>
        </w:rPr>
        <w:t>site and cross</w:t>
      </w:r>
      <w:r w:rsidRPr="006A25B7">
        <w:rPr>
          <w:rFonts w:ascii="Cambria Math" w:hAnsi="Cambria Math" w:cs="Cambria Math"/>
          <w:sz w:val="22"/>
          <w:szCs w:val="22"/>
        </w:rPr>
        <w:t>‑</w:t>
      </w:r>
      <w:r w:rsidRPr="006A25B7">
        <w:rPr>
          <w:rFonts w:ascii="Book Antiqua" w:hAnsi="Book Antiqua" w:cs="Courier New"/>
          <w:sz w:val="22"/>
          <w:szCs w:val="22"/>
        </w:rPr>
        <w:t>site levels using Miles and Huberman</w:t>
      </w:r>
      <w:r w:rsidRPr="006A25B7">
        <w:rPr>
          <w:rFonts w:ascii="Book Antiqua" w:hAnsi="Book Antiqua" w:cs="Book Antiqua"/>
          <w:sz w:val="22"/>
          <w:szCs w:val="22"/>
        </w:rPr>
        <w:t>’</w:t>
      </w:r>
      <w:r w:rsidRPr="006A25B7">
        <w:rPr>
          <w:rFonts w:ascii="Book Antiqua" w:hAnsi="Book Antiqua" w:cs="Courier New"/>
          <w:sz w:val="22"/>
          <w:szCs w:val="22"/>
        </w:rPr>
        <w:t xml:space="preserve">s model. Verification was achieved through </w:t>
      </w:r>
      <w:r w:rsidRPr="006A25B7">
        <w:rPr>
          <w:rFonts w:ascii="Book Antiqua" w:hAnsi="Book Antiqua" w:cs="Courier New"/>
          <w:sz w:val="22"/>
          <w:szCs w:val="22"/>
        </w:rPr>
        <w:lastRenderedPageBreak/>
        <w:t>triangulation, member checking, and peer review. Finally, the conclusion stage synthesized findings into an adaptive integrative leadership model.</w:t>
      </w:r>
    </w:p>
    <w:p w14:paraId="0CBDC716" w14:textId="1283AF2C" w:rsidR="00226B92" w:rsidRPr="006A25B7" w:rsidRDefault="001A6A50" w:rsidP="00DC3CAE">
      <w:pPr>
        <w:spacing w:line="276" w:lineRule="auto"/>
        <w:ind w:firstLine="720"/>
        <w:jc w:val="both"/>
        <w:rPr>
          <w:rFonts w:ascii="Book Antiqua" w:hAnsi="Book Antiqua"/>
          <w:sz w:val="22"/>
          <w:szCs w:val="22"/>
        </w:rPr>
      </w:pPr>
      <w:r w:rsidRPr="006A25B7">
        <w:rPr>
          <w:rFonts w:ascii="Book Antiqua" w:hAnsi="Book Antiqua" w:cs="Courier New"/>
          <w:sz w:val="22"/>
          <w:szCs w:val="22"/>
        </w:rPr>
        <w:t>To enhance clarity, a research flow chart diagram is presented immediately after this narrative. The diagram illustrates the sequential stages horizontally, from orientation to conclusion, thereby providing a visual representation of the systematic process undertaken in this study.</w:t>
      </w:r>
    </w:p>
    <w:p w14:paraId="68A5CD61" w14:textId="77777777" w:rsidR="00226B92" w:rsidRPr="006A25B7" w:rsidRDefault="00226B92" w:rsidP="00F55D37">
      <w:pPr>
        <w:spacing w:line="276" w:lineRule="auto"/>
        <w:jc w:val="center"/>
        <w:rPr>
          <w:rFonts w:ascii="Book Antiqua" w:hAnsi="Book Antiqua"/>
          <w:sz w:val="22"/>
          <w:szCs w:val="22"/>
        </w:rPr>
      </w:pPr>
    </w:p>
    <w:p w14:paraId="3784F27C" w14:textId="77777777" w:rsidR="0064125F" w:rsidRPr="006A25B7" w:rsidRDefault="0064125F" w:rsidP="00F55D37">
      <w:pPr>
        <w:spacing w:line="276" w:lineRule="auto"/>
        <w:jc w:val="center"/>
        <w:rPr>
          <w:rFonts w:ascii="Book Antiqua" w:hAnsi="Book Antiqua" w:cs="Courier New"/>
          <w:noProof/>
          <w:sz w:val="22"/>
          <w:szCs w:val="22"/>
          <w:lang w:val="en"/>
        </w:rPr>
      </w:pPr>
    </w:p>
    <w:p w14:paraId="6848E46D" w14:textId="2EB6D7E3" w:rsidR="00A10EB4" w:rsidRPr="006A25B7" w:rsidRDefault="0064125F" w:rsidP="00DC3CAE">
      <w:pPr>
        <w:spacing w:line="360" w:lineRule="auto"/>
        <w:jc w:val="center"/>
        <w:rPr>
          <w:rFonts w:ascii="Book Antiqua" w:hAnsi="Book Antiqua" w:cs="Courier New"/>
          <w:sz w:val="22"/>
          <w:szCs w:val="22"/>
          <w:lang w:val="en"/>
        </w:rPr>
      </w:pPr>
      <w:r w:rsidRPr="006A25B7">
        <w:rPr>
          <w:rFonts w:ascii="Book Antiqua" w:hAnsi="Book Antiqua" w:cs="Courier New"/>
          <w:noProof/>
          <w:sz w:val="22"/>
          <w:szCs w:val="22"/>
          <w:lang w:val="en"/>
        </w:rPr>
        <w:drawing>
          <wp:inline distT="0" distB="0" distL="0" distR="0" wp14:anchorId="4E53421F" wp14:editId="0D0CCA6C">
            <wp:extent cx="4883150" cy="2430880"/>
            <wp:effectExtent l="0" t="0" r="0" b="7620"/>
            <wp:docPr id="305112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12128" name="Picture 305112128"/>
                    <pic:cNvPicPr/>
                  </pic:nvPicPr>
                  <pic:blipFill rotWithShape="1">
                    <a:blip r:embed="rId12">
                      <a:extLst>
                        <a:ext uri="{28A0092B-C50C-407E-A947-70E740481C1C}">
                          <a14:useLocalDpi xmlns:a14="http://schemas.microsoft.com/office/drawing/2010/main" val="0"/>
                        </a:ext>
                      </a:extLst>
                    </a:blip>
                    <a:srcRect t="14196" b="6227"/>
                    <a:stretch>
                      <a:fillRect/>
                    </a:stretch>
                  </pic:blipFill>
                  <pic:spPr bwMode="auto">
                    <a:xfrm>
                      <a:off x="0" y="0"/>
                      <a:ext cx="4894836" cy="2436697"/>
                    </a:xfrm>
                    <a:prstGeom prst="rect">
                      <a:avLst/>
                    </a:prstGeom>
                    <a:ln>
                      <a:noFill/>
                    </a:ln>
                    <a:extLst>
                      <a:ext uri="{53640926-AAD7-44D8-BBD7-CCE9431645EC}">
                        <a14:shadowObscured xmlns:a14="http://schemas.microsoft.com/office/drawing/2010/main"/>
                      </a:ext>
                    </a:extLst>
                  </pic:spPr>
                </pic:pic>
              </a:graphicData>
            </a:graphic>
          </wp:inline>
        </w:drawing>
      </w:r>
    </w:p>
    <w:p w14:paraId="18F2BDD5" w14:textId="6BC50BED" w:rsidR="00A10EB4" w:rsidRPr="006A25B7" w:rsidRDefault="00226B92" w:rsidP="00F55D37">
      <w:pPr>
        <w:spacing w:line="276" w:lineRule="auto"/>
        <w:jc w:val="center"/>
        <w:rPr>
          <w:rFonts w:ascii="Book Antiqua" w:hAnsi="Book Antiqua" w:cs="Courier New"/>
          <w:sz w:val="20"/>
          <w:szCs w:val="20"/>
          <w:lang w:val="en"/>
        </w:rPr>
      </w:pPr>
      <w:r w:rsidRPr="006A25B7">
        <w:rPr>
          <w:rFonts w:ascii="Book Antiqua" w:hAnsi="Book Antiqua" w:cs="Courier New"/>
          <w:b/>
          <w:bCs/>
          <w:sz w:val="20"/>
          <w:szCs w:val="20"/>
          <w:lang w:val="en"/>
        </w:rPr>
        <w:t>Figure 1.</w:t>
      </w:r>
      <w:r w:rsidRPr="006A25B7">
        <w:rPr>
          <w:rFonts w:ascii="Book Antiqua" w:hAnsi="Book Antiqua" w:cs="Courier New"/>
          <w:sz w:val="20"/>
          <w:szCs w:val="20"/>
          <w:lang w:val="en"/>
        </w:rPr>
        <w:t xml:space="preserve"> Research Flow</w:t>
      </w:r>
    </w:p>
    <w:p w14:paraId="02C3A8F9" w14:textId="77777777" w:rsidR="00124EB7" w:rsidRPr="006A25B7" w:rsidRDefault="00124EB7" w:rsidP="00F55D37">
      <w:pPr>
        <w:pStyle w:val="ListParagraph"/>
        <w:shd w:val="clear" w:color="auto" w:fill="FFFFFF"/>
        <w:spacing w:after="0"/>
        <w:ind w:left="0"/>
        <w:jc w:val="both"/>
        <w:rPr>
          <w:rFonts w:ascii="Book Antiqua" w:hAnsi="Book Antiqua" w:cs="Times New Roman"/>
          <w:bCs/>
          <w:lang w:val="en-US"/>
        </w:rPr>
      </w:pPr>
    </w:p>
    <w:p w14:paraId="66423D34" w14:textId="2E13A705" w:rsidR="00880DC1" w:rsidRPr="006A25B7" w:rsidRDefault="00836049" w:rsidP="00F55D37">
      <w:pPr>
        <w:pStyle w:val="ListParagraph"/>
        <w:shd w:val="clear" w:color="auto" w:fill="FFFFFF"/>
        <w:spacing w:after="0"/>
        <w:ind w:left="0"/>
        <w:jc w:val="both"/>
        <w:rPr>
          <w:rFonts w:ascii="Book Antiqua" w:hAnsi="Book Antiqua"/>
          <w:b/>
          <w:sz w:val="24"/>
          <w:szCs w:val="24"/>
          <w:lang w:val="en-US"/>
        </w:rPr>
      </w:pPr>
      <w:r w:rsidRPr="006A25B7">
        <w:rPr>
          <w:rFonts w:ascii="Book Antiqua" w:hAnsi="Book Antiqua" w:cs="Times New Roman"/>
          <w:b/>
          <w:sz w:val="24"/>
          <w:szCs w:val="24"/>
          <w:lang w:val="en-US"/>
        </w:rPr>
        <w:t>C. Result</w:t>
      </w:r>
    </w:p>
    <w:p w14:paraId="54B5764D" w14:textId="57380B35" w:rsidR="006C5BF5" w:rsidRPr="006A25B7" w:rsidRDefault="008B03F9" w:rsidP="00DC3CAE">
      <w:pPr>
        <w:pStyle w:val="Text"/>
        <w:tabs>
          <w:tab w:val="clear" w:pos="7200"/>
        </w:tabs>
        <w:spacing w:line="360" w:lineRule="auto"/>
        <w:rPr>
          <w:rFonts w:ascii="Book Antiqua" w:hAnsi="Book Antiqua" w:cs="Courier New"/>
          <w:b/>
          <w:bCs/>
          <w:sz w:val="22"/>
          <w:szCs w:val="22"/>
          <w:lang w:val="en"/>
        </w:rPr>
      </w:pPr>
      <w:r w:rsidRPr="006A25B7">
        <w:rPr>
          <w:rFonts w:ascii="Book Antiqua" w:hAnsi="Book Antiqua" w:cs="Courier New"/>
          <w:b/>
          <w:bCs/>
          <w:sz w:val="22"/>
          <w:szCs w:val="22"/>
          <w:lang w:val="en"/>
        </w:rPr>
        <w:t>Leadership Strategies of PKBM Heads</w:t>
      </w:r>
    </w:p>
    <w:p w14:paraId="5BB8CC90" w14:textId="384CE355" w:rsidR="004E04F8" w:rsidRPr="006A25B7" w:rsidRDefault="004E04F8" w:rsidP="00F55D37">
      <w:pPr>
        <w:pStyle w:val="Text"/>
        <w:tabs>
          <w:tab w:val="clear" w:pos="7200"/>
        </w:tabs>
        <w:spacing w:line="276" w:lineRule="auto"/>
        <w:ind w:firstLine="720"/>
        <w:rPr>
          <w:rFonts w:ascii="Book Antiqua" w:hAnsi="Book Antiqua" w:cs="Courier New"/>
          <w:sz w:val="22"/>
          <w:szCs w:val="22"/>
          <w:lang w:val="id-ID"/>
        </w:rPr>
      </w:pPr>
      <w:r w:rsidRPr="006A25B7">
        <w:rPr>
          <w:rFonts w:ascii="Book Antiqua" w:hAnsi="Book Antiqua" w:cs="Courier New"/>
          <w:sz w:val="22"/>
          <w:szCs w:val="22"/>
          <w:lang w:val="id-ID"/>
        </w:rPr>
        <w:t>The findings of this study reveal that both PKBM under investigation, Merah Putih and Azka Bamega have adopted leadership strategies to strengthen community partnerships, yet the orientations and emphases differ significantly. At PKBM Merah Putih, leadership was predominantly participatory. The head of PKBM actively involved educators in routine evaluation forums, encouraging collaborative decision-making and reflective practice. Partnerships were established with local community leaders and organizations to support literacy programs and vocational training. Educators emphasized the importance of shared responsibility, noting that participatory leadership fostered a sense of ownership and motivation. However, technological integration remained limited, constraining innovation in learning delivery.</w:t>
      </w:r>
    </w:p>
    <w:p w14:paraId="24EF60A7" w14:textId="77777777" w:rsidR="0003069F" w:rsidRPr="006A25B7" w:rsidRDefault="0003069F" w:rsidP="00F55D37">
      <w:pPr>
        <w:pStyle w:val="Text"/>
        <w:tabs>
          <w:tab w:val="clear" w:pos="7200"/>
        </w:tabs>
        <w:spacing w:line="276" w:lineRule="auto"/>
        <w:ind w:firstLine="567"/>
        <w:rPr>
          <w:rFonts w:ascii="Book Antiqua" w:hAnsi="Book Antiqua" w:cs="Courier New"/>
          <w:sz w:val="22"/>
          <w:szCs w:val="22"/>
          <w:lang w:val="id-ID"/>
        </w:rPr>
      </w:pPr>
    </w:p>
    <w:p w14:paraId="5B8CA38D" w14:textId="0E5BB592" w:rsidR="004E04F8" w:rsidRPr="006A25B7" w:rsidRDefault="004E04F8" w:rsidP="00F55D37">
      <w:pPr>
        <w:pStyle w:val="Text"/>
        <w:tabs>
          <w:tab w:val="clear" w:pos="7200"/>
        </w:tabs>
        <w:spacing w:line="276" w:lineRule="auto"/>
        <w:ind w:left="720" w:right="36"/>
        <w:rPr>
          <w:rFonts w:ascii="Book Antiqua" w:hAnsi="Book Antiqua" w:cs="Courier New"/>
          <w:sz w:val="22"/>
          <w:szCs w:val="22"/>
          <w:lang w:val="id-ID"/>
        </w:rPr>
      </w:pPr>
      <w:r w:rsidRPr="006A25B7">
        <w:rPr>
          <w:rFonts w:ascii="Book Antiqua" w:hAnsi="Book Antiqua" w:cs="Courier New"/>
          <w:i/>
          <w:iCs/>
          <w:sz w:val="22"/>
          <w:szCs w:val="22"/>
          <w:lang w:val="id-ID"/>
        </w:rPr>
        <w:t>“We always hold evaluation meetings together with tutors and staff. This way, everyone feels responsible for the success of the program, and the community also sees that PKBM belongs to them.”</w:t>
      </w:r>
      <w:r w:rsidRPr="006A25B7">
        <w:rPr>
          <w:rFonts w:ascii="Book Antiqua" w:hAnsi="Book Antiqua" w:cs="Courier New"/>
          <w:sz w:val="22"/>
          <w:szCs w:val="22"/>
          <w:lang w:val="id-ID"/>
        </w:rPr>
        <w:t xml:space="preserve"> (Head of PKBM Merah Putih, translated).</w:t>
      </w:r>
    </w:p>
    <w:p w14:paraId="1FD448E9" w14:textId="77777777" w:rsidR="0003069F" w:rsidRPr="006A25B7" w:rsidRDefault="0003069F" w:rsidP="00F55D37">
      <w:pPr>
        <w:pStyle w:val="Text"/>
        <w:tabs>
          <w:tab w:val="clear" w:pos="7200"/>
        </w:tabs>
        <w:spacing w:line="276" w:lineRule="auto"/>
        <w:ind w:left="284" w:hanging="142"/>
        <w:rPr>
          <w:rFonts w:ascii="Book Antiqua" w:hAnsi="Book Antiqua" w:cs="Courier New"/>
          <w:sz w:val="22"/>
          <w:szCs w:val="22"/>
          <w:lang w:val="id-ID"/>
        </w:rPr>
      </w:pPr>
    </w:p>
    <w:p w14:paraId="3D6B4000" w14:textId="143F5489" w:rsidR="004E04F8" w:rsidRPr="006A25B7" w:rsidRDefault="007E4BDE" w:rsidP="00F55D37">
      <w:pPr>
        <w:pStyle w:val="Text"/>
        <w:tabs>
          <w:tab w:val="clear" w:pos="7200"/>
        </w:tabs>
        <w:spacing w:line="276" w:lineRule="auto"/>
        <w:ind w:firstLine="720"/>
        <w:rPr>
          <w:rFonts w:ascii="Book Antiqua" w:hAnsi="Book Antiqua" w:cs="Courier New"/>
          <w:sz w:val="22"/>
          <w:szCs w:val="22"/>
          <w:lang w:val="id-ID"/>
        </w:rPr>
      </w:pPr>
      <w:r w:rsidRPr="006A25B7">
        <w:rPr>
          <w:rFonts w:ascii="Book Antiqua" w:hAnsi="Book Antiqua" w:cs="Courier New"/>
          <w:sz w:val="22"/>
          <w:szCs w:val="22"/>
          <w:lang w:val="id-ID"/>
        </w:rPr>
        <w:lastRenderedPageBreak/>
        <w:t>This orientation reflects a leadership style that values inclusivity and collaboration, embedding community participation into institutional practices. The emphasis was on building a culture of dialogue and collective problem-solving, even though infrastructural and technological constraints posed challenges.</w:t>
      </w:r>
    </w:p>
    <w:p w14:paraId="5683096E" w14:textId="77777777" w:rsidR="004E04F8" w:rsidRPr="006A25B7" w:rsidRDefault="004E04F8" w:rsidP="00F55D37">
      <w:pPr>
        <w:pStyle w:val="Text"/>
        <w:tabs>
          <w:tab w:val="clear" w:pos="7200"/>
        </w:tabs>
        <w:spacing w:line="276" w:lineRule="auto"/>
        <w:ind w:firstLine="720"/>
        <w:rPr>
          <w:rFonts w:ascii="Book Antiqua" w:hAnsi="Book Antiqua" w:cs="Courier New"/>
          <w:sz w:val="22"/>
          <w:szCs w:val="22"/>
          <w:lang w:val="id-ID"/>
        </w:rPr>
      </w:pPr>
      <w:r w:rsidRPr="006A25B7">
        <w:rPr>
          <w:rFonts w:ascii="Book Antiqua" w:hAnsi="Book Antiqua" w:cs="Courier New"/>
          <w:sz w:val="22"/>
          <w:szCs w:val="22"/>
          <w:lang w:val="id-ID"/>
        </w:rPr>
        <w:t>In contrast, PKBM Azka Bamega adopted a more centralized and structural leadership approach. Decision-making was concentrated in the hands of the PKBM head, with educators playing a more limited role in planning. Despite this, the institution demonstrated strong external partnerships, particularly with local enterprises and religious organizations, which supported vocational programs and contextual learning activities. The leadership emphasized efficiency and structural clarity, ensuring that programs were well-organized and aligned with community needs.</w:t>
      </w:r>
    </w:p>
    <w:p w14:paraId="00DB5E05" w14:textId="77777777" w:rsidR="0003069F" w:rsidRPr="006A25B7" w:rsidRDefault="0003069F" w:rsidP="00F55D37">
      <w:pPr>
        <w:pStyle w:val="Text"/>
        <w:tabs>
          <w:tab w:val="clear" w:pos="7200"/>
        </w:tabs>
        <w:spacing w:line="276" w:lineRule="auto"/>
        <w:ind w:left="284" w:right="351"/>
        <w:rPr>
          <w:rFonts w:ascii="Book Antiqua" w:hAnsi="Book Antiqua" w:cs="Courier New"/>
          <w:sz w:val="22"/>
          <w:szCs w:val="22"/>
          <w:lang w:val="id-ID"/>
        </w:rPr>
      </w:pPr>
    </w:p>
    <w:p w14:paraId="7C0D9B19" w14:textId="0481C125" w:rsidR="004E04F8" w:rsidRPr="006A25B7" w:rsidRDefault="004E04F8" w:rsidP="00820353">
      <w:pPr>
        <w:pStyle w:val="Text"/>
        <w:tabs>
          <w:tab w:val="clear" w:pos="7200"/>
        </w:tabs>
        <w:spacing w:line="240" w:lineRule="auto"/>
        <w:ind w:left="900" w:right="36"/>
        <w:rPr>
          <w:rFonts w:ascii="Book Antiqua" w:hAnsi="Book Antiqua" w:cs="Courier New"/>
          <w:sz w:val="22"/>
          <w:szCs w:val="22"/>
          <w:lang w:val="id-ID"/>
        </w:rPr>
      </w:pPr>
      <w:r w:rsidRPr="006A25B7">
        <w:rPr>
          <w:rFonts w:ascii="Book Antiqua" w:hAnsi="Book Antiqua" w:cs="Courier New"/>
          <w:i/>
          <w:iCs/>
          <w:sz w:val="22"/>
          <w:szCs w:val="22"/>
          <w:lang w:val="id-ID"/>
        </w:rPr>
        <w:t>“We collaborate with local businesses and religious institutions to provide training and moral guidance. This helps learners not only gain skills but also strengthen their values and discipline.”</w:t>
      </w:r>
      <w:r w:rsidRPr="006A25B7">
        <w:rPr>
          <w:rFonts w:ascii="Book Antiqua" w:hAnsi="Book Antiqua" w:cs="Courier New"/>
          <w:sz w:val="22"/>
          <w:szCs w:val="22"/>
          <w:lang w:val="id-ID"/>
        </w:rPr>
        <w:t xml:space="preserve"> (Head of PKBM Azka Bamega, translated)</w:t>
      </w:r>
    </w:p>
    <w:p w14:paraId="2FF4CC54" w14:textId="77777777" w:rsidR="0003069F" w:rsidRPr="006A25B7" w:rsidRDefault="0003069F" w:rsidP="00F55D37">
      <w:pPr>
        <w:pStyle w:val="Text"/>
        <w:tabs>
          <w:tab w:val="clear" w:pos="7200"/>
        </w:tabs>
        <w:spacing w:line="276" w:lineRule="auto"/>
        <w:ind w:firstLine="567"/>
        <w:rPr>
          <w:rFonts w:ascii="Book Antiqua" w:hAnsi="Book Antiqua" w:cs="Courier New"/>
          <w:sz w:val="22"/>
          <w:szCs w:val="22"/>
          <w:lang w:val="id-ID"/>
        </w:rPr>
      </w:pPr>
    </w:p>
    <w:p w14:paraId="3103FBA1" w14:textId="7AB2946B" w:rsidR="004E04F8" w:rsidRPr="006A25B7" w:rsidRDefault="004E04F8" w:rsidP="00F55D37">
      <w:pPr>
        <w:pStyle w:val="Text"/>
        <w:tabs>
          <w:tab w:val="clear" w:pos="7200"/>
        </w:tabs>
        <w:spacing w:line="276" w:lineRule="auto"/>
        <w:ind w:firstLine="720"/>
        <w:rPr>
          <w:rFonts w:ascii="Book Antiqua" w:hAnsi="Book Antiqua" w:cs="Courier New"/>
          <w:sz w:val="22"/>
          <w:szCs w:val="22"/>
          <w:lang w:val="id-ID"/>
        </w:rPr>
      </w:pPr>
      <w:r w:rsidRPr="006A25B7">
        <w:rPr>
          <w:rFonts w:ascii="Book Antiqua" w:hAnsi="Book Antiqua" w:cs="Courier New"/>
          <w:sz w:val="22"/>
          <w:szCs w:val="22"/>
          <w:lang w:val="id-ID"/>
        </w:rPr>
        <w:t>This orientation highlights the strength of centralized leadership in mobilizing external resources and sustaining community trust, though it risks limiting educator innovation and participation.</w:t>
      </w:r>
    </w:p>
    <w:p w14:paraId="00D9188C" w14:textId="77777777" w:rsidR="004E04F8" w:rsidRPr="006A25B7" w:rsidRDefault="004E04F8" w:rsidP="00F55D37">
      <w:pPr>
        <w:pStyle w:val="Text"/>
        <w:tabs>
          <w:tab w:val="clear" w:pos="7200"/>
        </w:tabs>
        <w:spacing w:line="276" w:lineRule="auto"/>
        <w:ind w:firstLine="720"/>
        <w:rPr>
          <w:rFonts w:ascii="Book Antiqua" w:hAnsi="Book Antiqua" w:cs="Courier New"/>
          <w:sz w:val="22"/>
          <w:szCs w:val="22"/>
          <w:lang w:val="id-ID"/>
        </w:rPr>
      </w:pPr>
      <w:r w:rsidRPr="006A25B7">
        <w:rPr>
          <w:rFonts w:ascii="Book Antiqua" w:hAnsi="Book Antiqua" w:cs="Courier New"/>
          <w:sz w:val="22"/>
          <w:szCs w:val="22"/>
          <w:lang w:val="id-ID"/>
        </w:rPr>
        <w:t>Overall, the comparative findings show that while PKBM Merah Putih relied on participatory leadership and internal collaboration, PKBM Azka Bamega emphasized structural authority and external partnerships. Both approaches were effective in their respective contexts, underscoring that PKBM leadership strategies must be adapted to institutional resources, community values, and organizational culture.</w:t>
      </w:r>
    </w:p>
    <w:p w14:paraId="2586F7E5" w14:textId="77777777" w:rsidR="001646B0" w:rsidRPr="006A25B7" w:rsidRDefault="001646B0" w:rsidP="00F55D37">
      <w:pPr>
        <w:pStyle w:val="Text"/>
        <w:tabs>
          <w:tab w:val="clear" w:pos="7200"/>
        </w:tabs>
        <w:spacing w:line="276" w:lineRule="auto"/>
        <w:ind w:firstLine="851"/>
        <w:rPr>
          <w:rFonts w:ascii="Book Antiqua" w:hAnsi="Book Antiqua" w:cs="Courier New"/>
          <w:sz w:val="22"/>
          <w:szCs w:val="22"/>
          <w:lang w:val="id-ID"/>
        </w:rPr>
      </w:pPr>
    </w:p>
    <w:p w14:paraId="105B05F1" w14:textId="67F38355" w:rsidR="00E92B42" w:rsidRPr="006A25B7" w:rsidRDefault="004E04F8" w:rsidP="00DC3CAE">
      <w:pPr>
        <w:pStyle w:val="Text"/>
        <w:tabs>
          <w:tab w:val="clear" w:pos="7200"/>
        </w:tabs>
        <w:spacing w:line="360" w:lineRule="auto"/>
        <w:rPr>
          <w:rFonts w:ascii="Book Antiqua" w:hAnsi="Book Antiqua" w:cs="Calibri Light"/>
          <w:b/>
          <w:bCs/>
          <w:iCs/>
          <w:noProof/>
          <w:sz w:val="22"/>
          <w:szCs w:val="22"/>
          <w:lang w:val="id-ID"/>
        </w:rPr>
      </w:pPr>
      <w:r w:rsidRPr="006A25B7">
        <w:rPr>
          <w:rFonts w:ascii="Book Antiqua" w:hAnsi="Book Antiqua" w:cs="Calibri Light"/>
          <w:b/>
          <w:bCs/>
          <w:iCs/>
          <w:noProof/>
          <w:sz w:val="22"/>
          <w:szCs w:val="22"/>
          <w:lang w:val="id-ID"/>
        </w:rPr>
        <w:t>Educator Involvement</w:t>
      </w:r>
    </w:p>
    <w:p w14:paraId="481A0C91" w14:textId="77777777" w:rsidR="008B0424" w:rsidRPr="006A25B7" w:rsidRDefault="008B0424"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t>The findings of this study emphasize the central role of educator involvement in sustaining the quality and relevance of PKBM programs. Educators are not merely instructional agents but also strategic partners in shaping institutional culture, strengthening community collaboration, and ensuring program sustainability. Their participation, however, varied significantly between PKBM Merah Putih and PKBM Azka Bamega, reflecting differences in leadership orientation and organizational practices.</w:t>
      </w:r>
    </w:p>
    <w:p w14:paraId="2A60DF22" w14:textId="77777777" w:rsidR="008B0424" w:rsidRPr="006A25B7" w:rsidRDefault="008B0424"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t>At PKBM Merah Putih, educator involvement was active and participatory. Tutors were consistently engaged in program evaluation meetings, where they contributed ideas for improving literacy modules and vocational training. This participatory model fostered a sense of ownership and collective responsibility among educators, motivating them to innovate despite limited technological resources. One tutor explained:</w:t>
      </w:r>
    </w:p>
    <w:p w14:paraId="1F2D3591" w14:textId="77777777" w:rsidR="00C14B69" w:rsidRPr="006A25B7" w:rsidRDefault="00C14B69" w:rsidP="00820353">
      <w:pPr>
        <w:pStyle w:val="Text"/>
        <w:tabs>
          <w:tab w:val="clear" w:pos="7200"/>
        </w:tabs>
        <w:spacing w:line="240" w:lineRule="auto"/>
        <w:ind w:firstLine="567"/>
        <w:rPr>
          <w:rFonts w:ascii="Book Antiqua" w:hAnsi="Book Antiqua" w:cs="Calibri Light"/>
          <w:iCs/>
          <w:noProof/>
          <w:sz w:val="22"/>
          <w:szCs w:val="22"/>
        </w:rPr>
      </w:pPr>
    </w:p>
    <w:p w14:paraId="615CF317" w14:textId="0C80A005" w:rsidR="008B0424" w:rsidRPr="006A25B7" w:rsidRDefault="00C14B69" w:rsidP="00820353">
      <w:pPr>
        <w:pStyle w:val="Text"/>
        <w:tabs>
          <w:tab w:val="clear" w:pos="7200"/>
        </w:tabs>
        <w:spacing w:line="240" w:lineRule="auto"/>
        <w:ind w:left="720" w:right="36"/>
        <w:rPr>
          <w:rFonts w:ascii="Book Antiqua" w:hAnsi="Book Antiqua" w:cs="Calibri Light"/>
          <w:noProof/>
          <w:sz w:val="22"/>
          <w:szCs w:val="22"/>
        </w:rPr>
      </w:pPr>
      <w:r w:rsidRPr="006A25B7">
        <w:rPr>
          <w:rFonts w:ascii="Book Antiqua" w:hAnsi="Book Antiqua" w:cs="Calibri Light"/>
          <w:i/>
          <w:iCs/>
          <w:noProof/>
          <w:sz w:val="22"/>
          <w:szCs w:val="22"/>
        </w:rPr>
        <w:t xml:space="preserve"> “As tutors, we are not only teaching but also involved in planning and evaluation. This makes us feel valued and motivated to innovate, even though facilities remain limited.”</w:t>
      </w:r>
      <w:r w:rsidRPr="006A25B7">
        <w:rPr>
          <w:rFonts w:ascii="Book Antiqua" w:hAnsi="Book Antiqua" w:cs="Calibri Light"/>
          <w:noProof/>
          <w:sz w:val="22"/>
          <w:szCs w:val="22"/>
        </w:rPr>
        <w:t xml:space="preserve"> (Tutor, PKBM Merah Putih).</w:t>
      </w:r>
    </w:p>
    <w:p w14:paraId="7A096B82" w14:textId="77777777" w:rsidR="00C14B69" w:rsidRPr="006A25B7" w:rsidRDefault="00C14B69" w:rsidP="00F55D37">
      <w:pPr>
        <w:pStyle w:val="Text"/>
        <w:tabs>
          <w:tab w:val="clear" w:pos="7200"/>
        </w:tabs>
        <w:spacing w:line="276" w:lineRule="auto"/>
        <w:ind w:left="284" w:right="351"/>
        <w:rPr>
          <w:rFonts w:ascii="Book Antiqua" w:hAnsi="Book Antiqua" w:cs="Calibri Light"/>
          <w:noProof/>
          <w:sz w:val="22"/>
          <w:szCs w:val="22"/>
        </w:rPr>
      </w:pPr>
    </w:p>
    <w:p w14:paraId="45E6AE18" w14:textId="77777777" w:rsidR="008B0424" w:rsidRPr="006A25B7" w:rsidRDefault="008B0424"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lastRenderedPageBreak/>
        <w:t>This statement illustrates how participatory leadership empowered educators to see themselves as co-creators of PKBM programs rather than passive executors. Their involvement extended beyond classroom instruction to include community outreach activities, such as literacy campaigns and skill-based workshops. The collaborative atmosphere encouraged reflective practice and strengthened the bond between PKBM and its surrounding community.</w:t>
      </w:r>
    </w:p>
    <w:p w14:paraId="3DB1A869" w14:textId="77777777" w:rsidR="008B0424" w:rsidRPr="006A25B7" w:rsidRDefault="008B0424"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t>In contrast, at PKBM Azka Bamega, educator involvement was more limited and structurally constrained. Tutors primarily acted as implementers of programs designed by the PKBM head, with minimal opportunities to contribute to strategic planning. While this centralized approach ensured organizational clarity and efficiency, it reduced the space for pedagogical innovation and professional growth. One tutor noted:</w:t>
      </w:r>
    </w:p>
    <w:p w14:paraId="2DEA2F77" w14:textId="77777777" w:rsidR="00C14B69" w:rsidRPr="006A25B7" w:rsidRDefault="00C14B69" w:rsidP="00820353">
      <w:pPr>
        <w:pStyle w:val="Text"/>
        <w:tabs>
          <w:tab w:val="clear" w:pos="7200"/>
        </w:tabs>
        <w:spacing w:line="240" w:lineRule="auto"/>
        <w:ind w:firstLine="567"/>
        <w:rPr>
          <w:rFonts w:ascii="Book Antiqua" w:hAnsi="Book Antiqua" w:cs="Calibri Light"/>
          <w:i/>
          <w:iCs/>
          <w:noProof/>
          <w:sz w:val="22"/>
          <w:szCs w:val="22"/>
        </w:rPr>
      </w:pPr>
    </w:p>
    <w:p w14:paraId="639687E1" w14:textId="4CAB8BC7" w:rsidR="008B0424" w:rsidRPr="006A25B7" w:rsidRDefault="00C14B69" w:rsidP="00820353">
      <w:pPr>
        <w:pStyle w:val="Text"/>
        <w:tabs>
          <w:tab w:val="clear" w:pos="7200"/>
        </w:tabs>
        <w:spacing w:line="240" w:lineRule="auto"/>
        <w:ind w:left="720" w:right="36"/>
        <w:rPr>
          <w:rFonts w:ascii="Book Antiqua" w:hAnsi="Book Antiqua" w:cs="Calibri Light"/>
          <w:noProof/>
          <w:sz w:val="22"/>
          <w:szCs w:val="22"/>
        </w:rPr>
      </w:pPr>
      <w:r w:rsidRPr="006A25B7">
        <w:rPr>
          <w:rFonts w:ascii="Book Antiqua" w:hAnsi="Book Antiqua" w:cs="Calibri Light"/>
          <w:i/>
          <w:iCs/>
          <w:noProof/>
          <w:sz w:val="22"/>
          <w:szCs w:val="22"/>
        </w:rPr>
        <w:t xml:space="preserve"> “Most program decisions are determined by the PKBM head. We mostly act as implementers, so the space to provide input is still limited.”</w:t>
      </w:r>
      <w:r w:rsidRPr="006A25B7">
        <w:rPr>
          <w:rFonts w:ascii="Book Antiqua" w:hAnsi="Book Antiqua" w:cs="Calibri Light"/>
          <w:noProof/>
          <w:sz w:val="22"/>
          <w:szCs w:val="22"/>
        </w:rPr>
        <w:t xml:space="preserve"> (Tutor, PKBM Azka Bamega).</w:t>
      </w:r>
    </w:p>
    <w:p w14:paraId="5C442AB4" w14:textId="77777777" w:rsidR="00C14B69" w:rsidRPr="006A25B7" w:rsidRDefault="00C14B69" w:rsidP="00820353">
      <w:pPr>
        <w:pStyle w:val="Text"/>
        <w:tabs>
          <w:tab w:val="clear" w:pos="7200"/>
        </w:tabs>
        <w:spacing w:line="240" w:lineRule="auto"/>
        <w:ind w:left="284" w:right="351"/>
        <w:rPr>
          <w:rFonts w:ascii="Book Antiqua" w:hAnsi="Book Antiqua" w:cs="Calibri Light"/>
          <w:noProof/>
          <w:sz w:val="22"/>
          <w:szCs w:val="22"/>
        </w:rPr>
      </w:pPr>
    </w:p>
    <w:p w14:paraId="20E7A45F" w14:textId="77777777" w:rsidR="008B0424" w:rsidRPr="006A25B7" w:rsidRDefault="008B0424"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t>This perspective reflects the hierarchical nature of leadership at PKBM Azka Bamega, where educators were positioned as executors rather than partners in decision-making. Although external partnerships with local enterprises and religious institutions enriched program content, the lack of active educator participation in planning posed challenges for sustainability and innovation.</w:t>
      </w:r>
    </w:p>
    <w:p w14:paraId="71999DFC" w14:textId="77777777" w:rsidR="008B0424" w:rsidRPr="006A25B7" w:rsidRDefault="008B0424"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t>Despite these differences, both PKBM recognized the importance of educators in maintaining program quality. At PKBM Merah Putih, involvement was framed as collective responsibility, while at PKBM Azka Bamega, it was structured within a top-down model. The comparative findings suggest that educator involvement is most effective when balanced between participatory engagement and organizational clarity.</w:t>
      </w:r>
    </w:p>
    <w:p w14:paraId="2D4EC5B5" w14:textId="77777777" w:rsidR="008B0424" w:rsidRPr="006A25B7" w:rsidRDefault="008B0424"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t>Overall, the study underscores that educator involvement is not merely a technical function but a strategic dimension of PKBM leadership. Active participation enhances motivation, fosters innovation, and strengthens community trust, while limited involvement risks reducing program relevance and adaptability. The implication is clear: PKBM heads must design leadership strategies that empower educators as partners in planning, implementation, and evaluation, thereby ensuring that non-formal education remains responsive, inclusive, and sustainable.</w:t>
      </w:r>
    </w:p>
    <w:p w14:paraId="3B7EB954" w14:textId="77777777" w:rsidR="00DC3CAE" w:rsidRPr="006A25B7" w:rsidRDefault="00DC3CAE" w:rsidP="00F55D37">
      <w:pPr>
        <w:pStyle w:val="Text"/>
        <w:tabs>
          <w:tab w:val="clear" w:pos="7200"/>
        </w:tabs>
        <w:spacing w:line="276" w:lineRule="auto"/>
        <w:rPr>
          <w:rFonts w:ascii="Book Antiqua" w:hAnsi="Book Antiqua" w:cs="Calibri Light"/>
          <w:iCs/>
          <w:noProof/>
          <w:sz w:val="22"/>
          <w:szCs w:val="22"/>
          <w:lang w:val="id-ID"/>
        </w:rPr>
      </w:pPr>
    </w:p>
    <w:p w14:paraId="15B885F9" w14:textId="63ADE568" w:rsidR="00E92B42" w:rsidRPr="006A25B7" w:rsidRDefault="00E92B42" w:rsidP="00DC3CAE">
      <w:pPr>
        <w:pStyle w:val="Text"/>
        <w:tabs>
          <w:tab w:val="clear" w:pos="7200"/>
        </w:tabs>
        <w:spacing w:line="360" w:lineRule="auto"/>
        <w:rPr>
          <w:rFonts w:ascii="Book Antiqua" w:hAnsi="Book Antiqua" w:cs="Calibri Light"/>
          <w:b/>
          <w:bCs/>
          <w:iCs/>
          <w:noProof/>
          <w:sz w:val="22"/>
          <w:szCs w:val="22"/>
          <w:lang w:val="id-ID"/>
        </w:rPr>
      </w:pPr>
      <w:r w:rsidRPr="006A25B7">
        <w:rPr>
          <w:rFonts w:ascii="Book Antiqua" w:hAnsi="Book Antiqua" w:cs="Calibri Light"/>
          <w:b/>
          <w:bCs/>
          <w:iCs/>
          <w:noProof/>
          <w:sz w:val="22"/>
          <w:szCs w:val="22"/>
          <w:lang w:val="id-ID"/>
        </w:rPr>
        <w:t>Communication Strategies of PKBM Heads</w:t>
      </w:r>
    </w:p>
    <w:p w14:paraId="69FE8364" w14:textId="77777777" w:rsidR="005B4567" w:rsidRPr="006A25B7" w:rsidRDefault="005B4567"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t>The findings demonstrate that communication strategies play a decisive role in shaping PKBM leadership effectiveness and sustaining community partnerships. Communication was not only a technical process of information exchange but also a cultural practice reflecting leadership orientation, organizational values, and responsiveness to community needs.</w:t>
      </w:r>
    </w:p>
    <w:p w14:paraId="2C1ACFAC" w14:textId="746B662D" w:rsidR="00770B5C" w:rsidRPr="006A25B7" w:rsidRDefault="005B4567"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rPr>
        <w:t xml:space="preserve">At PKBM Merah Putih, communication was dialogical and participatory, supported by formal structures and official deliberations. The head of PKBM regularly organized </w:t>
      </w:r>
      <w:r w:rsidRPr="006A25B7">
        <w:rPr>
          <w:rFonts w:ascii="Book Antiqua" w:hAnsi="Book Antiqua" w:cs="Calibri Light"/>
          <w:iCs/>
          <w:noProof/>
          <w:sz w:val="22"/>
          <w:szCs w:val="22"/>
        </w:rPr>
        <w:lastRenderedPageBreak/>
        <w:t>coordination meetings with tutors and staff, creating open forums where ideas could be shared and evaluated collectively. This participatory style fostered transparency, inclusivity, and trust, ensuring that educators and community members felt involved in decision</w:t>
      </w:r>
      <w:r w:rsidRPr="006A25B7">
        <w:rPr>
          <w:rFonts w:ascii="Cambria Math" w:hAnsi="Cambria Math" w:cs="Cambria Math"/>
          <w:iCs/>
          <w:noProof/>
          <w:sz w:val="22"/>
          <w:szCs w:val="22"/>
        </w:rPr>
        <w:t>‑</w:t>
      </w:r>
      <w:r w:rsidRPr="006A25B7">
        <w:rPr>
          <w:rFonts w:ascii="Book Antiqua" w:hAnsi="Book Antiqua" w:cs="Calibri Light"/>
          <w:iCs/>
          <w:noProof/>
          <w:sz w:val="22"/>
          <w:szCs w:val="22"/>
        </w:rPr>
        <w:t>making. As the head explained:</w:t>
      </w:r>
    </w:p>
    <w:p w14:paraId="606A8A00" w14:textId="77777777" w:rsidR="001646B0" w:rsidRPr="006A25B7" w:rsidRDefault="001646B0" w:rsidP="00820353">
      <w:pPr>
        <w:pStyle w:val="Text"/>
        <w:tabs>
          <w:tab w:val="clear" w:pos="7200"/>
        </w:tabs>
        <w:spacing w:line="240" w:lineRule="auto"/>
        <w:ind w:firstLine="720"/>
        <w:rPr>
          <w:rFonts w:ascii="Book Antiqua" w:hAnsi="Book Antiqua" w:cs="Calibri Light"/>
          <w:iCs/>
          <w:noProof/>
          <w:sz w:val="22"/>
          <w:szCs w:val="22"/>
        </w:rPr>
      </w:pPr>
    </w:p>
    <w:p w14:paraId="1B9DD68C" w14:textId="6E551FA4" w:rsidR="00770B5C" w:rsidRPr="006A25B7" w:rsidRDefault="00770B5C" w:rsidP="00820353">
      <w:pPr>
        <w:pStyle w:val="Text"/>
        <w:tabs>
          <w:tab w:val="clear" w:pos="7200"/>
        </w:tabs>
        <w:spacing w:line="240" w:lineRule="auto"/>
        <w:ind w:left="720" w:right="36"/>
        <w:rPr>
          <w:rFonts w:ascii="Book Antiqua" w:hAnsi="Book Antiqua" w:cs="Calibri Light"/>
          <w:noProof/>
          <w:sz w:val="22"/>
          <w:szCs w:val="22"/>
        </w:rPr>
      </w:pPr>
      <w:r w:rsidRPr="006A25B7">
        <w:rPr>
          <w:rFonts w:ascii="Book Antiqua" w:hAnsi="Book Antiqua" w:cs="Calibri Light"/>
          <w:i/>
          <w:iCs/>
          <w:noProof/>
          <w:sz w:val="22"/>
          <w:szCs w:val="22"/>
        </w:rPr>
        <w:t>“We always hold coordination meetings with tutors and the community. In this way, all parties feel involved and decisions are more easily accepted.”</w:t>
      </w:r>
      <w:r w:rsidRPr="006A25B7">
        <w:rPr>
          <w:rFonts w:ascii="Book Antiqua" w:hAnsi="Book Antiqua" w:cs="Calibri Light"/>
          <w:noProof/>
          <w:sz w:val="22"/>
          <w:szCs w:val="22"/>
        </w:rPr>
        <w:t xml:space="preserve"> (Head of PKBM Merah Putih).</w:t>
      </w:r>
    </w:p>
    <w:p w14:paraId="29F2881D" w14:textId="77777777" w:rsidR="005B4567" w:rsidRPr="006A25B7" w:rsidRDefault="005B4567" w:rsidP="00820353">
      <w:pPr>
        <w:pStyle w:val="Text"/>
        <w:tabs>
          <w:tab w:val="clear" w:pos="7200"/>
        </w:tabs>
        <w:spacing w:line="240" w:lineRule="auto"/>
        <w:ind w:left="284" w:right="36"/>
        <w:rPr>
          <w:rFonts w:ascii="Book Antiqua" w:hAnsi="Book Antiqua" w:cs="Calibri Light"/>
          <w:noProof/>
          <w:sz w:val="22"/>
          <w:szCs w:val="22"/>
        </w:rPr>
      </w:pPr>
    </w:p>
    <w:p w14:paraId="733C4AD0" w14:textId="3508FF42" w:rsidR="005B4567" w:rsidRPr="006A25B7" w:rsidRDefault="005B4567" w:rsidP="00820353">
      <w:pPr>
        <w:pStyle w:val="Text"/>
        <w:tabs>
          <w:tab w:val="clear" w:pos="7200"/>
        </w:tabs>
        <w:spacing w:line="240" w:lineRule="auto"/>
        <w:ind w:left="720" w:right="36"/>
        <w:rPr>
          <w:rFonts w:ascii="Book Antiqua" w:hAnsi="Book Antiqua" w:cs="Calibri Light"/>
          <w:noProof/>
          <w:sz w:val="22"/>
          <w:szCs w:val="22"/>
        </w:rPr>
      </w:pPr>
      <w:r w:rsidRPr="006A25B7">
        <w:rPr>
          <w:rFonts w:ascii="Book Antiqua" w:hAnsi="Book Antiqua" w:cs="Calibri Light"/>
          <w:noProof/>
          <w:sz w:val="22"/>
          <w:szCs w:val="22"/>
          <w:lang w:val="id-ID"/>
        </w:rPr>
        <w:t>“</w:t>
      </w:r>
      <w:r w:rsidRPr="006A25B7">
        <w:rPr>
          <w:rFonts w:ascii="Book Antiqua" w:hAnsi="Book Antiqua" w:cs="Calibri Light"/>
          <w:i/>
          <w:iCs/>
          <w:noProof/>
          <w:sz w:val="22"/>
          <w:szCs w:val="22"/>
          <w:lang w:val="id-ID"/>
        </w:rPr>
        <w:t>We are encouraged to express our ideas during evaluation meetings, so we feel respected and part of the institution’s progress.”</w:t>
      </w:r>
      <w:r w:rsidRPr="006A25B7">
        <w:rPr>
          <w:rFonts w:ascii="Book Antiqua" w:hAnsi="Book Antiqua" w:cs="Calibri Light"/>
          <w:noProof/>
          <w:sz w:val="22"/>
          <w:szCs w:val="22"/>
          <w:lang w:val="id-ID"/>
        </w:rPr>
        <w:t xml:space="preserve"> (Tutor, PKBM Merah Putih)</w:t>
      </w:r>
    </w:p>
    <w:p w14:paraId="0ECCDE43" w14:textId="77777777" w:rsidR="00C14B69" w:rsidRPr="006A25B7" w:rsidRDefault="00C14B69" w:rsidP="00820353">
      <w:pPr>
        <w:pStyle w:val="Text"/>
        <w:tabs>
          <w:tab w:val="clear" w:pos="7200"/>
        </w:tabs>
        <w:spacing w:line="240" w:lineRule="auto"/>
        <w:ind w:left="284" w:right="351"/>
        <w:rPr>
          <w:rFonts w:ascii="Book Antiqua" w:hAnsi="Book Antiqua" w:cs="Calibri Light"/>
          <w:noProof/>
          <w:sz w:val="22"/>
          <w:szCs w:val="22"/>
        </w:rPr>
      </w:pPr>
    </w:p>
    <w:p w14:paraId="68EBEE26" w14:textId="196E01E0" w:rsidR="005B4567" w:rsidRPr="006A25B7" w:rsidRDefault="005B4567" w:rsidP="00F55D37">
      <w:pPr>
        <w:pStyle w:val="Text"/>
        <w:tabs>
          <w:tab w:val="clear" w:pos="7200"/>
        </w:tabs>
        <w:spacing w:line="276" w:lineRule="auto"/>
        <w:ind w:firstLine="720"/>
        <w:rPr>
          <w:rFonts w:ascii="Book Antiqua" w:hAnsi="Book Antiqua" w:cs="Calibri Light"/>
          <w:iCs/>
          <w:noProof/>
          <w:sz w:val="22"/>
          <w:szCs w:val="22"/>
          <w:lang w:val="id-ID"/>
        </w:rPr>
      </w:pPr>
      <w:r w:rsidRPr="006A25B7">
        <w:rPr>
          <w:rFonts w:ascii="Book Antiqua" w:hAnsi="Book Antiqua" w:cs="Calibri Light"/>
          <w:iCs/>
          <w:noProof/>
          <w:sz w:val="22"/>
          <w:szCs w:val="22"/>
          <w:lang w:val="id-ID"/>
        </w:rPr>
        <w:t>This participatory communication strengthened internal collaboration and reinforced PKBM’s identity as a community</w:t>
      </w:r>
      <w:r w:rsidRPr="006A25B7">
        <w:rPr>
          <w:rFonts w:ascii="Book Antiqua" w:hAnsi="Book Antiqua" w:cs="Calibri Light"/>
          <w:iCs/>
          <w:noProof/>
          <w:sz w:val="22"/>
          <w:szCs w:val="22"/>
          <w:lang w:val="id-ID"/>
        </w:rPr>
        <w:noBreakHyphen/>
        <w:t>based learning center. In contrast, PKBM Azka Bamega adopted a more formal and directive communication strategy, emphasizing structured reporting and coordination with external stakeholders, particularly local enterprises and religious institutions. Communication was often top</w:t>
      </w:r>
      <w:r w:rsidRPr="006A25B7">
        <w:rPr>
          <w:rFonts w:ascii="Book Antiqua" w:hAnsi="Book Antiqua" w:cs="Calibri Light"/>
          <w:iCs/>
          <w:noProof/>
          <w:sz w:val="22"/>
          <w:szCs w:val="22"/>
          <w:lang w:val="id-ID"/>
        </w:rPr>
        <w:noBreakHyphen/>
        <w:t>down, with tutors receiving instructions rather than engaging in dialogue. One tutor noted:</w:t>
      </w:r>
    </w:p>
    <w:p w14:paraId="2C0E8626" w14:textId="77777777" w:rsidR="00C14B69" w:rsidRPr="006A25B7" w:rsidRDefault="00C14B69" w:rsidP="00820353">
      <w:pPr>
        <w:pStyle w:val="Text"/>
        <w:tabs>
          <w:tab w:val="clear" w:pos="7200"/>
        </w:tabs>
        <w:spacing w:line="240" w:lineRule="auto"/>
        <w:ind w:firstLine="851"/>
        <w:rPr>
          <w:rFonts w:ascii="Book Antiqua" w:hAnsi="Book Antiqua" w:cs="Calibri Light"/>
          <w:i/>
          <w:iCs/>
          <w:noProof/>
          <w:sz w:val="22"/>
          <w:szCs w:val="22"/>
        </w:rPr>
      </w:pPr>
    </w:p>
    <w:p w14:paraId="4C95ACF1" w14:textId="3E49B0C0" w:rsidR="00770B5C" w:rsidRPr="006A25B7" w:rsidRDefault="00C14B69" w:rsidP="00820353">
      <w:pPr>
        <w:pStyle w:val="Text"/>
        <w:tabs>
          <w:tab w:val="clear" w:pos="7200"/>
        </w:tabs>
        <w:spacing w:line="240" w:lineRule="auto"/>
        <w:ind w:left="720" w:right="-54"/>
        <w:rPr>
          <w:rFonts w:ascii="Book Antiqua" w:hAnsi="Book Antiqua" w:cs="Calibri Light"/>
          <w:noProof/>
          <w:sz w:val="22"/>
          <w:szCs w:val="22"/>
        </w:rPr>
      </w:pPr>
      <w:r w:rsidRPr="006A25B7">
        <w:rPr>
          <w:rFonts w:ascii="Book Antiqua" w:hAnsi="Book Antiqua" w:cs="Calibri Light"/>
          <w:noProof/>
          <w:sz w:val="22"/>
          <w:szCs w:val="22"/>
        </w:rPr>
        <w:t xml:space="preserve"> </w:t>
      </w:r>
      <w:r w:rsidRPr="006A25B7">
        <w:rPr>
          <w:rFonts w:ascii="Book Antiqua" w:hAnsi="Book Antiqua" w:cs="Calibri Light"/>
          <w:i/>
          <w:iCs/>
          <w:noProof/>
          <w:sz w:val="22"/>
          <w:szCs w:val="22"/>
        </w:rPr>
        <w:t>“Communication in this PKBM is mostly in the form of instructions from the head. We follow the directions given, especially regarding vocational programs and collaborations with external partners.”</w:t>
      </w:r>
      <w:r w:rsidRPr="006A25B7">
        <w:rPr>
          <w:rFonts w:ascii="Book Antiqua" w:hAnsi="Book Antiqua" w:cs="Calibri Light"/>
          <w:noProof/>
          <w:sz w:val="22"/>
          <w:szCs w:val="22"/>
        </w:rPr>
        <w:t xml:space="preserve"> (Tutor, PKBM Azka Bamega)</w:t>
      </w:r>
    </w:p>
    <w:p w14:paraId="523E1B8F" w14:textId="77777777" w:rsidR="005B4567" w:rsidRPr="006A25B7" w:rsidRDefault="005B4567" w:rsidP="00820353">
      <w:pPr>
        <w:pStyle w:val="Text"/>
        <w:tabs>
          <w:tab w:val="clear" w:pos="7200"/>
        </w:tabs>
        <w:spacing w:line="240" w:lineRule="auto"/>
        <w:ind w:firstLine="851"/>
        <w:rPr>
          <w:rFonts w:ascii="Book Antiqua" w:hAnsi="Book Antiqua" w:cs="Calibri Light"/>
          <w:iCs/>
          <w:noProof/>
          <w:sz w:val="22"/>
          <w:szCs w:val="22"/>
        </w:rPr>
      </w:pPr>
    </w:p>
    <w:p w14:paraId="25186754" w14:textId="5E1C09F7" w:rsidR="00770B5C" w:rsidRPr="006A25B7" w:rsidRDefault="005B4567" w:rsidP="00F55D37">
      <w:pPr>
        <w:pStyle w:val="Text"/>
        <w:tabs>
          <w:tab w:val="clear" w:pos="7200"/>
        </w:tabs>
        <w:spacing w:line="276" w:lineRule="auto"/>
        <w:ind w:firstLine="720"/>
        <w:rPr>
          <w:rFonts w:ascii="Book Antiqua" w:hAnsi="Book Antiqua" w:cs="Calibri Light"/>
          <w:iCs/>
          <w:noProof/>
          <w:sz w:val="22"/>
          <w:szCs w:val="22"/>
        </w:rPr>
      </w:pPr>
      <w:r w:rsidRPr="006A25B7">
        <w:rPr>
          <w:rFonts w:ascii="Book Antiqua" w:hAnsi="Book Antiqua" w:cs="Calibri Light"/>
          <w:iCs/>
          <w:noProof/>
          <w:sz w:val="22"/>
          <w:szCs w:val="22"/>
          <w:lang w:val="id-ID"/>
        </w:rPr>
        <w:t>This directive style ensured organizational clarity and efficiency in managing partnerships and vocational training programs, but limited opportunities for educators to contribute to strategic discussions, thereby reducing innovation and adaptability.</w:t>
      </w:r>
    </w:p>
    <w:p w14:paraId="348B61FE" w14:textId="16B0CC05" w:rsidR="00770B5C" w:rsidRPr="006A25B7" w:rsidRDefault="00D77150" w:rsidP="00F55D37">
      <w:pPr>
        <w:pStyle w:val="Text"/>
        <w:tabs>
          <w:tab w:val="clear" w:pos="7200"/>
        </w:tabs>
        <w:spacing w:line="276" w:lineRule="auto"/>
        <w:ind w:firstLine="720"/>
        <w:rPr>
          <w:rFonts w:ascii="Book Antiqua" w:hAnsi="Book Antiqua" w:cs="Calibri Light"/>
          <w:iCs/>
          <w:noProof/>
          <w:sz w:val="22"/>
          <w:szCs w:val="22"/>
          <w:lang w:val="id-ID"/>
        </w:rPr>
      </w:pPr>
      <w:r w:rsidRPr="006A25B7">
        <w:rPr>
          <w:rFonts w:ascii="Book Antiqua" w:hAnsi="Book Antiqua" w:cs="Calibri Light"/>
          <w:iCs/>
          <w:noProof/>
          <w:sz w:val="22"/>
          <w:szCs w:val="22"/>
          <w:lang w:val="id-ID"/>
        </w:rPr>
        <w:t>Both PKBM demonstrated the importance of communication in sustaining institutional credibility and community trust, but with different emphases. PKBM Merah Putih leaned toward formal participatory dialogue, where communication patterns combined top</w:t>
      </w:r>
      <w:r w:rsidRPr="006A25B7">
        <w:rPr>
          <w:rFonts w:ascii="Book Antiqua" w:hAnsi="Book Antiqua" w:cs="Calibri Light"/>
          <w:iCs/>
          <w:noProof/>
          <w:sz w:val="22"/>
          <w:szCs w:val="22"/>
          <w:lang w:val="id-ID"/>
        </w:rPr>
        <w:noBreakHyphen/>
        <w:t>down directives, bottom</w:t>
      </w:r>
      <w:r w:rsidRPr="006A25B7">
        <w:rPr>
          <w:rFonts w:ascii="Book Antiqua" w:hAnsi="Book Antiqua" w:cs="Calibri Light"/>
          <w:iCs/>
          <w:noProof/>
          <w:sz w:val="22"/>
          <w:szCs w:val="22"/>
          <w:lang w:val="id-ID"/>
        </w:rPr>
        <w:noBreakHyphen/>
        <w:t>up feedback, horizontal collaboration among educators, and lateral engagement with community leaders. This structured yet dialogical approach fostered inclusivity and transparency, ensuring that educators and community members were actively involved in decision</w:t>
      </w:r>
      <w:r w:rsidRPr="006A25B7">
        <w:rPr>
          <w:rFonts w:ascii="Book Antiqua" w:hAnsi="Book Antiqua" w:cs="Calibri Light"/>
          <w:iCs/>
          <w:noProof/>
          <w:sz w:val="22"/>
          <w:szCs w:val="22"/>
          <w:lang w:val="id-ID"/>
        </w:rPr>
        <w:noBreakHyphen/>
        <w:t>making. In contrast, PKBM Azka Bamega relied more on directive and relational communication, emphasizing top</w:t>
      </w:r>
      <w:r w:rsidRPr="006A25B7">
        <w:rPr>
          <w:rFonts w:ascii="Book Antiqua" w:hAnsi="Book Antiqua" w:cs="Calibri Light"/>
          <w:iCs/>
          <w:noProof/>
          <w:sz w:val="22"/>
          <w:szCs w:val="22"/>
          <w:lang w:val="id-ID"/>
        </w:rPr>
        <w:noBreakHyphen/>
        <w:t>down instructions and informal exchanges. This style strengthened external partnerships with enterprises and religious institutions, but limited systematic educator input in planning and evaluation.</w:t>
      </w:r>
    </w:p>
    <w:p w14:paraId="21A41323" w14:textId="0267300F" w:rsidR="00A23E1C" w:rsidRPr="006A25B7" w:rsidRDefault="00D77150" w:rsidP="00820353">
      <w:pPr>
        <w:pStyle w:val="Text"/>
        <w:tabs>
          <w:tab w:val="clear" w:pos="7200"/>
        </w:tabs>
        <w:spacing w:line="276" w:lineRule="auto"/>
        <w:ind w:firstLine="720"/>
        <w:rPr>
          <w:rFonts w:ascii="Book Antiqua" w:hAnsi="Book Antiqua" w:cs="Calibri Light"/>
          <w:iCs/>
          <w:noProof/>
          <w:sz w:val="22"/>
          <w:szCs w:val="22"/>
          <w:lang w:val="id-ID"/>
        </w:rPr>
      </w:pPr>
      <w:r w:rsidRPr="006A25B7">
        <w:rPr>
          <w:rFonts w:ascii="Book Antiqua" w:hAnsi="Book Antiqua" w:cs="Calibri Light"/>
          <w:iCs/>
          <w:noProof/>
          <w:sz w:val="22"/>
          <w:szCs w:val="22"/>
          <w:lang w:val="id-ID"/>
        </w:rPr>
        <w:t>The cross</w:t>
      </w:r>
      <w:r w:rsidRPr="006A25B7">
        <w:rPr>
          <w:rFonts w:ascii="Book Antiqua" w:hAnsi="Book Antiqua" w:cs="Calibri Light"/>
          <w:iCs/>
          <w:noProof/>
          <w:sz w:val="22"/>
          <w:szCs w:val="22"/>
          <w:lang w:val="id-ID"/>
        </w:rPr>
        <w:noBreakHyphen/>
        <w:t>site synthesis revealed an Adaptive PKBM Communication Model that integrates participatory dialogue for internal collaboration and directive clarity for external coordination. Participatory dialogue fosters transparency, educator motivation, and innovation, while directive clarity ensures efficiency, credibility, and strong community partnerships. This hybrid approach demonstrates that effective PKBM communication must adaptively combine formal legitimacy with informal trust, thereby ensuring responsiveness to both internal stakeholders and external community partners.</w:t>
      </w:r>
    </w:p>
    <w:p w14:paraId="5B83156C" w14:textId="077C552E" w:rsidR="00D77150" w:rsidRPr="006A25B7" w:rsidRDefault="00D77150" w:rsidP="00DC3CAE">
      <w:pPr>
        <w:spacing w:line="360" w:lineRule="auto"/>
        <w:jc w:val="cente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lastRenderedPageBreak/>
        <w:t xml:space="preserve">Table </w:t>
      </w:r>
      <w:r w:rsidR="00DC3CAE" w:rsidRPr="006A25B7">
        <w:rPr>
          <w:rFonts w:ascii="Book Antiqua" w:eastAsiaTheme="minorHAnsi" w:hAnsi="Book Antiqua" w:cstheme="minorBidi"/>
          <w:b/>
          <w:bCs/>
          <w:kern w:val="2"/>
          <w:sz w:val="20"/>
          <w:szCs w:val="20"/>
          <w14:ligatures w14:val="standardContextual"/>
        </w:rPr>
        <w:t>2</w:t>
      </w:r>
      <w:r w:rsidRPr="006A25B7">
        <w:rPr>
          <w:rFonts w:ascii="Book Antiqua" w:eastAsiaTheme="minorHAnsi" w:hAnsi="Book Antiqua" w:cstheme="minorBidi"/>
          <w:b/>
          <w:bCs/>
          <w:kern w:val="2"/>
          <w:sz w:val="20"/>
          <w:szCs w:val="20"/>
          <w14:ligatures w14:val="standardContextual"/>
        </w:rPr>
        <w:t xml:space="preserve">. </w:t>
      </w:r>
      <w:r w:rsidRPr="006A25B7">
        <w:rPr>
          <w:rFonts w:ascii="Book Antiqua" w:eastAsiaTheme="minorHAnsi" w:hAnsi="Book Antiqua" w:cstheme="minorBidi"/>
          <w:kern w:val="2"/>
          <w:sz w:val="20"/>
          <w:szCs w:val="20"/>
          <w14:ligatures w14:val="standardContextual"/>
        </w:rPr>
        <w:t>Cross</w:t>
      </w:r>
      <w:r w:rsidRPr="006A25B7">
        <w:rPr>
          <w:rFonts w:ascii="Book Antiqua" w:eastAsiaTheme="minorHAnsi" w:hAnsi="Book Antiqua" w:cstheme="minorBidi"/>
          <w:kern w:val="2"/>
          <w:sz w:val="20"/>
          <w:szCs w:val="20"/>
          <w14:ligatures w14:val="standardContextual"/>
        </w:rPr>
        <w:noBreakHyphen/>
        <w:t>Site Findings on Leadership Strategies of PKBM Heads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9"/>
        <w:gridCol w:w="2112"/>
        <w:gridCol w:w="2113"/>
        <w:gridCol w:w="2762"/>
      </w:tblGrid>
      <w:tr w:rsidR="00D77150" w:rsidRPr="006A25B7" w14:paraId="453B90E1" w14:textId="77777777" w:rsidTr="00DC3CAE">
        <w:trPr>
          <w:tblHeader/>
          <w:tblCellSpacing w:w="15" w:type="dxa"/>
        </w:trPr>
        <w:tc>
          <w:tcPr>
            <w:tcW w:w="0" w:type="auto"/>
            <w:tcBorders>
              <w:top w:val="single" w:sz="4" w:space="0" w:color="auto"/>
              <w:bottom w:val="single" w:sz="4" w:space="0" w:color="auto"/>
            </w:tcBorders>
            <w:vAlign w:val="center"/>
            <w:hideMark/>
          </w:tcPr>
          <w:p w14:paraId="4ED9B5FD" w14:textId="77777777" w:rsidR="00D77150" w:rsidRPr="006A25B7" w:rsidRDefault="00D77150" w:rsidP="00DC3CAE">
            <w:pPr>
              <w:rPr>
                <w:rFonts w:ascii="Book Antiqua" w:eastAsiaTheme="minorHAnsi" w:hAnsi="Book Antiqua" w:cstheme="minorBidi"/>
                <w:b/>
                <w:bCs/>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Leadership Strategy</w:t>
            </w:r>
          </w:p>
        </w:tc>
        <w:tc>
          <w:tcPr>
            <w:tcW w:w="0" w:type="auto"/>
            <w:tcBorders>
              <w:top w:val="single" w:sz="4" w:space="0" w:color="auto"/>
              <w:bottom w:val="single" w:sz="4" w:space="0" w:color="auto"/>
            </w:tcBorders>
            <w:vAlign w:val="center"/>
            <w:hideMark/>
          </w:tcPr>
          <w:p w14:paraId="11277804" w14:textId="77777777" w:rsidR="00D77150" w:rsidRPr="006A25B7" w:rsidRDefault="00D77150" w:rsidP="00DC3CAE">
            <w:pPr>
              <w:rPr>
                <w:rFonts w:ascii="Book Antiqua" w:eastAsiaTheme="minorHAnsi" w:hAnsi="Book Antiqua" w:cstheme="minorBidi"/>
                <w:b/>
                <w:bCs/>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Site 1 (PKBM Merah Putih)</w:t>
            </w:r>
          </w:p>
        </w:tc>
        <w:tc>
          <w:tcPr>
            <w:tcW w:w="0" w:type="auto"/>
            <w:tcBorders>
              <w:top w:val="single" w:sz="4" w:space="0" w:color="auto"/>
              <w:bottom w:val="single" w:sz="4" w:space="0" w:color="auto"/>
            </w:tcBorders>
            <w:vAlign w:val="center"/>
            <w:hideMark/>
          </w:tcPr>
          <w:p w14:paraId="3233E169" w14:textId="77777777" w:rsidR="00D77150" w:rsidRPr="006A25B7" w:rsidRDefault="00D77150" w:rsidP="00DC3CAE">
            <w:pPr>
              <w:rPr>
                <w:rFonts w:ascii="Book Antiqua" w:eastAsiaTheme="minorHAnsi" w:hAnsi="Book Antiqua" w:cstheme="minorBidi"/>
                <w:b/>
                <w:bCs/>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Site 2 (PKBM Azka Bamega)</w:t>
            </w:r>
          </w:p>
        </w:tc>
        <w:tc>
          <w:tcPr>
            <w:tcW w:w="0" w:type="auto"/>
            <w:tcBorders>
              <w:top w:val="single" w:sz="4" w:space="0" w:color="auto"/>
              <w:bottom w:val="single" w:sz="4" w:space="0" w:color="auto"/>
            </w:tcBorders>
            <w:vAlign w:val="center"/>
            <w:hideMark/>
          </w:tcPr>
          <w:p w14:paraId="0B5B3637" w14:textId="77777777" w:rsidR="00D77150" w:rsidRPr="006A25B7" w:rsidRDefault="00D77150" w:rsidP="00DC3CAE">
            <w:pPr>
              <w:rPr>
                <w:rFonts w:ascii="Book Antiqua" w:eastAsiaTheme="minorHAnsi" w:hAnsi="Book Antiqua" w:cstheme="minorBidi"/>
                <w:b/>
                <w:bCs/>
                <w:kern w:val="2"/>
                <w:sz w:val="20"/>
                <w:szCs w:val="20"/>
                <w14:ligatures w14:val="standardContextual"/>
              </w:rPr>
            </w:pPr>
            <w:r w:rsidRPr="006A25B7">
              <w:rPr>
                <w:rFonts w:ascii="Book Antiqua" w:eastAsiaTheme="minorHAnsi" w:hAnsi="Book Antiqua" w:cstheme="minorBidi"/>
                <w:b/>
                <w:bCs/>
                <w:kern w:val="2"/>
                <w:sz w:val="20"/>
                <w:szCs w:val="20"/>
                <w14:ligatures w14:val="standardContextual"/>
              </w:rPr>
              <w:t>Cross</w:t>
            </w:r>
            <w:r w:rsidRPr="006A25B7">
              <w:rPr>
                <w:rFonts w:ascii="Book Antiqua" w:eastAsiaTheme="minorHAnsi" w:hAnsi="Book Antiqua" w:cstheme="minorBidi"/>
                <w:b/>
                <w:bCs/>
                <w:kern w:val="2"/>
                <w:sz w:val="20"/>
                <w:szCs w:val="20"/>
                <w14:ligatures w14:val="standardContextual"/>
              </w:rPr>
              <w:noBreakHyphen/>
              <w:t>Site Synthesis</w:t>
            </w:r>
          </w:p>
        </w:tc>
      </w:tr>
      <w:tr w:rsidR="00D77150" w:rsidRPr="006A25B7" w14:paraId="48F6A78B" w14:textId="77777777" w:rsidTr="00D77150">
        <w:trPr>
          <w:tblCellSpacing w:w="15" w:type="dxa"/>
        </w:trPr>
        <w:tc>
          <w:tcPr>
            <w:tcW w:w="0" w:type="auto"/>
            <w:tcBorders>
              <w:bottom w:val="single" w:sz="4" w:space="0" w:color="auto"/>
            </w:tcBorders>
            <w:vAlign w:val="center"/>
            <w:hideMark/>
          </w:tcPr>
          <w:p w14:paraId="1931EAB9"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Formulation of Contextual Vision and Mission</w:t>
            </w:r>
          </w:p>
        </w:tc>
        <w:tc>
          <w:tcPr>
            <w:tcW w:w="0" w:type="auto"/>
            <w:tcBorders>
              <w:bottom w:val="single" w:sz="4" w:space="0" w:color="auto"/>
            </w:tcBorders>
            <w:vAlign w:val="center"/>
            <w:hideMark/>
          </w:tcPr>
          <w:p w14:paraId="2B066CA9"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Vision and mission formulated through deliberation with tutors and community, emphasizing local relevance.</w:t>
            </w:r>
          </w:p>
        </w:tc>
        <w:tc>
          <w:tcPr>
            <w:tcW w:w="0" w:type="auto"/>
            <w:tcBorders>
              <w:bottom w:val="single" w:sz="4" w:space="0" w:color="auto"/>
            </w:tcBorders>
            <w:vAlign w:val="center"/>
            <w:hideMark/>
          </w:tcPr>
          <w:p w14:paraId="308364BD"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Tutors involved directly in vision and mission formulation, focusing on learners’ and community needs.</w:t>
            </w:r>
          </w:p>
        </w:tc>
        <w:tc>
          <w:tcPr>
            <w:tcW w:w="0" w:type="auto"/>
            <w:tcBorders>
              <w:bottom w:val="single" w:sz="4" w:space="0" w:color="auto"/>
            </w:tcBorders>
            <w:vAlign w:val="center"/>
            <w:hideMark/>
          </w:tcPr>
          <w:p w14:paraId="3BBC7C3B"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Both PKBM emphasize contextual vision and mission based on local needs. Merah Putih is more formal, Azka Bamega more flexible and directly tutor</w:t>
            </w:r>
            <w:r w:rsidRPr="006A25B7">
              <w:rPr>
                <w:rFonts w:ascii="Book Antiqua" w:eastAsiaTheme="minorHAnsi" w:hAnsi="Book Antiqua" w:cstheme="minorBidi"/>
                <w:kern w:val="2"/>
                <w:sz w:val="20"/>
                <w:szCs w:val="20"/>
                <w14:ligatures w14:val="standardContextual"/>
              </w:rPr>
              <w:noBreakHyphen/>
              <w:t>driven.</w:t>
            </w:r>
          </w:p>
        </w:tc>
      </w:tr>
      <w:tr w:rsidR="00D77150" w:rsidRPr="006A25B7" w14:paraId="048A8BB0" w14:textId="77777777" w:rsidTr="00D77150">
        <w:trPr>
          <w:tblCellSpacing w:w="15" w:type="dxa"/>
        </w:trPr>
        <w:tc>
          <w:tcPr>
            <w:tcW w:w="0" w:type="auto"/>
            <w:tcBorders>
              <w:bottom w:val="single" w:sz="4" w:space="0" w:color="auto"/>
            </w:tcBorders>
            <w:vAlign w:val="center"/>
            <w:hideMark/>
          </w:tcPr>
          <w:p w14:paraId="39865D9B"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Decision</w:t>
            </w:r>
            <w:r w:rsidRPr="006A25B7">
              <w:rPr>
                <w:rFonts w:ascii="Book Antiqua" w:eastAsiaTheme="minorHAnsi" w:hAnsi="Book Antiqua" w:cstheme="minorBidi"/>
                <w:kern w:val="2"/>
                <w:sz w:val="20"/>
                <w:szCs w:val="20"/>
                <w14:ligatures w14:val="standardContextual"/>
              </w:rPr>
              <w:noBreakHyphen/>
              <w:t>Making</w:t>
            </w:r>
          </w:p>
        </w:tc>
        <w:tc>
          <w:tcPr>
            <w:tcW w:w="0" w:type="auto"/>
            <w:tcBorders>
              <w:bottom w:val="single" w:sz="4" w:space="0" w:color="auto"/>
            </w:tcBorders>
            <w:vAlign w:val="center"/>
            <w:hideMark/>
          </w:tcPr>
          <w:p w14:paraId="72C1E28A"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Decisions made openly, involving tutors and staff in routine meetings.</w:t>
            </w:r>
          </w:p>
        </w:tc>
        <w:tc>
          <w:tcPr>
            <w:tcW w:w="0" w:type="auto"/>
            <w:tcBorders>
              <w:bottom w:val="single" w:sz="4" w:space="0" w:color="auto"/>
            </w:tcBorders>
            <w:vAlign w:val="center"/>
            <w:hideMark/>
          </w:tcPr>
          <w:p w14:paraId="131CC32B"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Decisions made through deliberation without formal mechanisms, tutors provide direct input.</w:t>
            </w:r>
          </w:p>
        </w:tc>
        <w:tc>
          <w:tcPr>
            <w:tcW w:w="0" w:type="auto"/>
            <w:tcBorders>
              <w:bottom w:val="single" w:sz="4" w:space="0" w:color="auto"/>
            </w:tcBorders>
            <w:vAlign w:val="center"/>
            <w:hideMark/>
          </w:tcPr>
          <w:p w14:paraId="517805FD"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Both emphasize openness. Merah Putih is more structured, Azka Bamega more informal and flexible.</w:t>
            </w:r>
          </w:p>
        </w:tc>
      </w:tr>
      <w:tr w:rsidR="00D77150" w:rsidRPr="006A25B7" w14:paraId="790F0B12" w14:textId="77777777" w:rsidTr="00D77150">
        <w:trPr>
          <w:tblCellSpacing w:w="15" w:type="dxa"/>
        </w:trPr>
        <w:tc>
          <w:tcPr>
            <w:tcW w:w="0" w:type="auto"/>
            <w:tcBorders>
              <w:bottom w:val="single" w:sz="4" w:space="0" w:color="auto"/>
            </w:tcBorders>
            <w:vAlign w:val="center"/>
            <w:hideMark/>
          </w:tcPr>
          <w:p w14:paraId="521D8B12"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Resource Management</w:t>
            </w:r>
          </w:p>
        </w:tc>
        <w:tc>
          <w:tcPr>
            <w:tcW w:w="0" w:type="auto"/>
            <w:tcBorders>
              <w:bottom w:val="single" w:sz="4" w:space="0" w:color="auto"/>
            </w:tcBorders>
            <w:vAlign w:val="center"/>
            <w:hideMark/>
          </w:tcPr>
          <w:p w14:paraId="526D0ADA"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Simple facilities used creatively, community support mobilized to overcome limitations.</w:t>
            </w:r>
          </w:p>
        </w:tc>
        <w:tc>
          <w:tcPr>
            <w:tcW w:w="0" w:type="auto"/>
            <w:tcBorders>
              <w:bottom w:val="single" w:sz="4" w:space="0" w:color="auto"/>
            </w:tcBorders>
            <w:vAlign w:val="center"/>
            <w:hideMark/>
          </w:tcPr>
          <w:p w14:paraId="3C463AD1"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PKBM head demonstrates loyalty by preparing laptops for national exams (UNBK) and training learners.</w:t>
            </w:r>
          </w:p>
        </w:tc>
        <w:tc>
          <w:tcPr>
            <w:tcW w:w="0" w:type="auto"/>
            <w:tcBorders>
              <w:bottom w:val="single" w:sz="4" w:space="0" w:color="auto"/>
            </w:tcBorders>
            <w:vAlign w:val="center"/>
            <w:hideMark/>
          </w:tcPr>
          <w:p w14:paraId="6D4B33CC"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Merah Putih emphasizes efficiency in limited facilities, Azka Bamega highlights loyalty and readiness for exam facilities.</w:t>
            </w:r>
          </w:p>
        </w:tc>
      </w:tr>
      <w:tr w:rsidR="00D77150" w:rsidRPr="006A25B7" w14:paraId="5954A36A" w14:textId="77777777" w:rsidTr="00D77150">
        <w:trPr>
          <w:tblCellSpacing w:w="15" w:type="dxa"/>
        </w:trPr>
        <w:tc>
          <w:tcPr>
            <w:tcW w:w="0" w:type="auto"/>
            <w:tcBorders>
              <w:bottom w:val="single" w:sz="4" w:space="0" w:color="auto"/>
            </w:tcBorders>
            <w:vAlign w:val="center"/>
            <w:hideMark/>
          </w:tcPr>
          <w:p w14:paraId="5128BC61"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Educator Empowerment</w:t>
            </w:r>
          </w:p>
        </w:tc>
        <w:tc>
          <w:tcPr>
            <w:tcW w:w="0" w:type="auto"/>
            <w:tcBorders>
              <w:bottom w:val="single" w:sz="4" w:space="0" w:color="auto"/>
            </w:tcBorders>
            <w:vAlign w:val="center"/>
            <w:hideMark/>
          </w:tcPr>
          <w:p w14:paraId="22CFC568"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Tutors given space to provide input, involved in program planning, trusted to adapt methods.</w:t>
            </w:r>
          </w:p>
        </w:tc>
        <w:tc>
          <w:tcPr>
            <w:tcW w:w="0" w:type="auto"/>
            <w:tcBorders>
              <w:bottom w:val="single" w:sz="4" w:space="0" w:color="auto"/>
            </w:tcBorders>
            <w:vAlign w:val="center"/>
            <w:hideMark/>
          </w:tcPr>
          <w:p w14:paraId="17D4FD67"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PKBM head directs learning system, involves tutors in vision and mission, grants full trust.</w:t>
            </w:r>
          </w:p>
        </w:tc>
        <w:tc>
          <w:tcPr>
            <w:tcW w:w="0" w:type="auto"/>
            <w:tcBorders>
              <w:bottom w:val="single" w:sz="4" w:space="0" w:color="auto"/>
            </w:tcBorders>
            <w:vAlign w:val="center"/>
            <w:hideMark/>
          </w:tcPr>
          <w:p w14:paraId="610A0AFE" w14:textId="77777777" w:rsidR="00D77150" w:rsidRPr="006A25B7" w:rsidRDefault="00D77150" w:rsidP="00DC3CAE">
            <w:pPr>
              <w:rPr>
                <w:rFonts w:ascii="Book Antiqua" w:eastAsiaTheme="minorHAnsi" w:hAnsi="Book Antiqua" w:cstheme="minorBidi"/>
                <w:kern w:val="2"/>
                <w:sz w:val="20"/>
                <w:szCs w:val="20"/>
                <w14:ligatures w14:val="standardContextual"/>
              </w:rPr>
            </w:pPr>
            <w:r w:rsidRPr="006A25B7">
              <w:rPr>
                <w:rFonts w:ascii="Book Antiqua" w:eastAsiaTheme="minorHAnsi" w:hAnsi="Book Antiqua" w:cstheme="minorBidi"/>
                <w:kern w:val="2"/>
                <w:sz w:val="20"/>
                <w:szCs w:val="20"/>
                <w14:ligatures w14:val="standardContextual"/>
              </w:rPr>
              <w:t>Both emphasize tutor empowerment; Merah Putih more participatory, Azka Bamega more directive yet nurturing.</w:t>
            </w:r>
          </w:p>
        </w:tc>
      </w:tr>
    </w:tbl>
    <w:p w14:paraId="7FE837CE" w14:textId="77777777" w:rsidR="00D77150" w:rsidRPr="006A25B7" w:rsidRDefault="00D77150" w:rsidP="00F55D37">
      <w:pPr>
        <w:pStyle w:val="Text"/>
        <w:tabs>
          <w:tab w:val="clear" w:pos="7200"/>
        </w:tabs>
        <w:spacing w:line="276" w:lineRule="auto"/>
        <w:ind w:firstLine="851"/>
        <w:rPr>
          <w:rFonts w:ascii="Book Antiqua" w:hAnsi="Book Antiqua" w:cs="Calibri Light"/>
          <w:iCs/>
          <w:noProof/>
          <w:sz w:val="22"/>
          <w:szCs w:val="22"/>
          <w:lang w:val="id-ID"/>
        </w:rPr>
      </w:pPr>
    </w:p>
    <w:p w14:paraId="3B4D0C96" w14:textId="6FC4BDF8" w:rsidR="00D77150" w:rsidRPr="006A25B7" w:rsidRDefault="00C05B96" w:rsidP="00F55D37">
      <w:pPr>
        <w:pStyle w:val="Text"/>
        <w:tabs>
          <w:tab w:val="clear" w:pos="7200"/>
        </w:tabs>
        <w:spacing w:line="276" w:lineRule="auto"/>
        <w:ind w:firstLine="720"/>
        <w:rPr>
          <w:rFonts w:ascii="Book Antiqua" w:hAnsi="Book Antiqua" w:cs="Calibri Light"/>
          <w:iCs/>
          <w:noProof/>
          <w:sz w:val="22"/>
          <w:szCs w:val="22"/>
          <w:lang w:val="id-ID"/>
        </w:rPr>
      </w:pPr>
      <w:r w:rsidRPr="006A25B7">
        <w:rPr>
          <w:rFonts w:ascii="Book Antiqua" w:hAnsi="Book Antiqua" w:cs="Calibri Light"/>
          <w:iCs/>
          <w:noProof/>
          <w:sz w:val="22"/>
          <w:szCs w:val="22"/>
          <w:lang w:val="id-ID"/>
        </w:rPr>
        <w:t>Table 2 presents cross-site findings on leadership strategies at PKBM Merah Putih and PKBM Azka Bamega, showing that both institutions emphasize contextual vision, openness in decision-making, and educator empowerment, yet differ in their implementation. PKBM Merah Putih adopts a more formal and participatory approach, while PKBM Azka Bamega tends to be more flexible and directive. These differences are also reflected in resource management, where Merah Putih focuses on efficiency under limited conditions, whereas Azka Bamega highlights institutional readiness and support. Overall, these patterns indicate that leadership strategies are adaptive and shaped by context, resources, and organizational culture. Building on these findings, Table 3 further illustrates how these differing leadership orientations influence the extent and nature of educator involvement across both PKBM contexts.</w:t>
      </w:r>
    </w:p>
    <w:p w14:paraId="2617C69C" w14:textId="77777777" w:rsidR="00874ED4" w:rsidRPr="006A25B7" w:rsidRDefault="00874ED4" w:rsidP="00820353">
      <w:pPr>
        <w:pStyle w:val="Text"/>
        <w:tabs>
          <w:tab w:val="clear" w:pos="7200"/>
        </w:tabs>
        <w:spacing w:line="240" w:lineRule="auto"/>
        <w:ind w:firstLine="720"/>
        <w:rPr>
          <w:rFonts w:ascii="Book Antiqua" w:hAnsi="Book Antiqua" w:cs="Calibri Light"/>
          <w:iCs/>
          <w:noProof/>
          <w:sz w:val="22"/>
          <w:szCs w:val="22"/>
          <w:lang w:val="id-ID"/>
        </w:rPr>
      </w:pPr>
    </w:p>
    <w:p w14:paraId="1763255A" w14:textId="0291CF34" w:rsidR="00D77150" w:rsidRPr="006A25B7" w:rsidRDefault="00D77150" w:rsidP="00DC3CAE">
      <w:pPr>
        <w:spacing w:line="360" w:lineRule="auto"/>
        <w:jc w:val="center"/>
        <w:rPr>
          <w:rFonts w:ascii="Book Antiqua" w:hAnsi="Book Antiqua" w:cs="Courier New"/>
          <w:b/>
          <w:bCs/>
          <w:sz w:val="20"/>
          <w:szCs w:val="20"/>
        </w:rPr>
      </w:pPr>
      <w:r w:rsidRPr="006A25B7">
        <w:rPr>
          <w:rFonts w:ascii="Book Antiqua" w:hAnsi="Book Antiqua" w:cs="Courier New"/>
          <w:b/>
          <w:bCs/>
          <w:sz w:val="20"/>
          <w:szCs w:val="20"/>
        </w:rPr>
        <w:t xml:space="preserve">Table 3. </w:t>
      </w:r>
      <w:r w:rsidRPr="006A25B7">
        <w:rPr>
          <w:rFonts w:ascii="Book Antiqua" w:hAnsi="Book Antiqua" w:cs="Courier New"/>
          <w:sz w:val="20"/>
          <w:szCs w:val="20"/>
        </w:rPr>
        <w:t>Cross</w:t>
      </w:r>
      <w:r w:rsidRPr="006A25B7">
        <w:rPr>
          <w:rFonts w:ascii="Book Antiqua" w:hAnsi="Book Antiqua" w:cs="Courier New"/>
          <w:sz w:val="20"/>
          <w:szCs w:val="20"/>
        </w:rPr>
        <w:noBreakHyphen/>
        <w:t>Site Findings on Educator Involvement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27"/>
        <w:gridCol w:w="2461"/>
        <w:gridCol w:w="2324"/>
        <w:gridCol w:w="2644"/>
      </w:tblGrid>
      <w:tr w:rsidR="00D77150" w:rsidRPr="006A25B7" w14:paraId="2D2255EB" w14:textId="77777777" w:rsidTr="00D77150">
        <w:trPr>
          <w:tblHeader/>
          <w:tblCellSpacing w:w="15" w:type="dxa"/>
          <w:jc w:val="center"/>
        </w:trPr>
        <w:tc>
          <w:tcPr>
            <w:tcW w:w="0" w:type="auto"/>
            <w:tcBorders>
              <w:top w:val="single" w:sz="4" w:space="0" w:color="auto"/>
              <w:bottom w:val="single" w:sz="4" w:space="0" w:color="auto"/>
            </w:tcBorders>
            <w:vAlign w:val="center"/>
            <w:hideMark/>
          </w:tcPr>
          <w:p w14:paraId="643D8550" w14:textId="77777777" w:rsidR="00D77150" w:rsidRPr="006A25B7" w:rsidRDefault="00D77150" w:rsidP="00DC3CAE">
            <w:pPr>
              <w:rPr>
                <w:rFonts w:ascii="Book Antiqua" w:hAnsi="Book Antiqua" w:cs="Courier New"/>
                <w:b/>
                <w:bCs/>
                <w:sz w:val="20"/>
                <w:szCs w:val="20"/>
              </w:rPr>
            </w:pPr>
            <w:r w:rsidRPr="006A25B7">
              <w:rPr>
                <w:rFonts w:ascii="Book Antiqua" w:hAnsi="Book Antiqua" w:cs="Courier New"/>
                <w:b/>
                <w:bCs/>
                <w:sz w:val="20"/>
                <w:szCs w:val="20"/>
              </w:rPr>
              <w:t>Educator Involvement</w:t>
            </w:r>
          </w:p>
        </w:tc>
        <w:tc>
          <w:tcPr>
            <w:tcW w:w="0" w:type="auto"/>
            <w:tcBorders>
              <w:top w:val="single" w:sz="4" w:space="0" w:color="auto"/>
              <w:bottom w:val="single" w:sz="4" w:space="0" w:color="auto"/>
            </w:tcBorders>
            <w:vAlign w:val="center"/>
            <w:hideMark/>
          </w:tcPr>
          <w:p w14:paraId="27303DA2" w14:textId="77777777" w:rsidR="00D77150" w:rsidRPr="006A25B7" w:rsidRDefault="00D77150" w:rsidP="00DC3CAE">
            <w:pPr>
              <w:rPr>
                <w:rFonts w:ascii="Book Antiqua" w:hAnsi="Book Antiqua" w:cs="Courier New"/>
                <w:b/>
                <w:bCs/>
                <w:sz w:val="20"/>
                <w:szCs w:val="20"/>
              </w:rPr>
            </w:pPr>
            <w:r w:rsidRPr="006A25B7">
              <w:rPr>
                <w:rFonts w:ascii="Book Antiqua" w:hAnsi="Book Antiqua" w:cs="Courier New"/>
                <w:b/>
                <w:bCs/>
                <w:sz w:val="20"/>
                <w:szCs w:val="20"/>
              </w:rPr>
              <w:t>Site 1 (PKBM Merah Putih)</w:t>
            </w:r>
          </w:p>
        </w:tc>
        <w:tc>
          <w:tcPr>
            <w:tcW w:w="0" w:type="auto"/>
            <w:tcBorders>
              <w:top w:val="single" w:sz="4" w:space="0" w:color="auto"/>
              <w:bottom w:val="single" w:sz="4" w:space="0" w:color="auto"/>
            </w:tcBorders>
            <w:vAlign w:val="center"/>
            <w:hideMark/>
          </w:tcPr>
          <w:p w14:paraId="00B93517" w14:textId="77777777" w:rsidR="00D77150" w:rsidRPr="006A25B7" w:rsidRDefault="00D77150" w:rsidP="00DC3CAE">
            <w:pPr>
              <w:rPr>
                <w:rFonts w:ascii="Book Antiqua" w:hAnsi="Book Antiqua" w:cs="Courier New"/>
                <w:b/>
                <w:bCs/>
                <w:sz w:val="20"/>
                <w:szCs w:val="20"/>
              </w:rPr>
            </w:pPr>
            <w:r w:rsidRPr="006A25B7">
              <w:rPr>
                <w:rFonts w:ascii="Book Antiqua" w:hAnsi="Book Antiqua" w:cs="Courier New"/>
                <w:b/>
                <w:bCs/>
                <w:sz w:val="20"/>
                <w:szCs w:val="20"/>
              </w:rPr>
              <w:t>Site 2 (PKBM Azka Bamega)</w:t>
            </w:r>
          </w:p>
        </w:tc>
        <w:tc>
          <w:tcPr>
            <w:tcW w:w="0" w:type="auto"/>
            <w:tcBorders>
              <w:top w:val="single" w:sz="4" w:space="0" w:color="auto"/>
              <w:bottom w:val="single" w:sz="4" w:space="0" w:color="auto"/>
            </w:tcBorders>
            <w:vAlign w:val="center"/>
            <w:hideMark/>
          </w:tcPr>
          <w:p w14:paraId="5C366089" w14:textId="77777777" w:rsidR="00D77150" w:rsidRPr="006A25B7" w:rsidRDefault="00D77150" w:rsidP="00DC3CAE">
            <w:pPr>
              <w:rPr>
                <w:rFonts w:ascii="Book Antiqua" w:hAnsi="Book Antiqua" w:cs="Courier New"/>
                <w:b/>
                <w:bCs/>
                <w:sz w:val="20"/>
                <w:szCs w:val="20"/>
              </w:rPr>
            </w:pPr>
            <w:r w:rsidRPr="006A25B7">
              <w:rPr>
                <w:rFonts w:ascii="Book Antiqua" w:hAnsi="Book Antiqua" w:cs="Courier New"/>
                <w:b/>
                <w:bCs/>
                <w:sz w:val="20"/>
                <w:szCs w:val="20"/>
              </w:rPr>
              <w:t>Cross</w:t>
            </w:r>
            <w:r w:rsidRPr="006A25B7">
              <w:rPr>
                <w:rFonts w:ascii="Book Antiqua" w:hAnsi="Book Antiqua" w:cs="Courier New"/>
                <w:b/>
                <w:bCs/>
                <w:sz w:val="20"/>
                <w:szCs w:val="20"/>
              </w:rPr>
              <w:noBreakHyphen/>
              <w:t>Site Synthesis</w:t>
            </w:r>
          </w:p>
        </w:tc>
      </w:tr>
      <w:tr w:rsidR="00D77150" w:rsidRPr="006A25B7" w14:paraId="1CAACD88" w14:textId="77777777" w:rsidTr="00D77150">
        <w:trPr>
          <w:tblCellSpacing w:w="15" w:type="dxa"/>
          <w:jc w:val="center"/>
        </w:trPr>
        <w:tc>
          <w:tcPr>
            <w:tcW w:w="0" w:type="auto"/>
            <w:vAlign w:val="center"/>
            <w:hideMark/>
          </w:tcPr>
          <w:p w14:paraId="1946D7C3"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Participation in Program Planning</w:t>
            </w:r>
          </w:p>
        </w:tc>
        <w:tc>
          <w:tcPr>
            <w:tcW w:w="0" w:type="auto"/>
            <w:vAlign w:val="center"/>
            <w:hideMark/>
          </w:tcPr>
          <w:p w14:paraId="4DD020F1"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Tutors involved in routine meetings, providing input on learner needs.</w:t>
            </w:r>
          </w:p>
        </w:tc>
        <w:tc>
          <w:tcPr>
            <w:tcW w:w="0" w:type="auto"/>
            <w:vAlign w:val="center"/>
            <w:hideMark/>
          </w:tcPr>
          <w:p w14:paraId="448C93DE"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Tutors involved in vision and mission formulation, giving direct input without formal mechanisms.</w:t>
            </w:r>
          </w:p>
        </w:tc>
        <w:tc>
          <w:tcPr>
            <w:tcW w:w="0" w:type="auto"/>
            <w:vAlign w:val="center"/>
            <w:hideMark/>
          </w:tcPr>
          <w:p w14:paraId="60118F14"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Both involve tutors in planning; Merah Putih emphasizes structure and timeliness, Azka Bamega more flexible and informal.</w:t>
            </w:r>
          </w:p>
        </w:tc>
      </w:tr>
      <w:tr w:rsidR="00D77150" w:rsidRPr="006A25B7" w14:paraId="4A529518" w14:textId="77777777" w:rsidTr="005B5B2B">
        <w:trPr>
          <w:tblCellSpacing w:w="15" w:type="dxa"/>
          <w:jc w:val="center"/>
        </w:trPr>
        <w:tc>
          <w:tcPr>
            <w:tcW w:w="0" w:type="auto"/>
            <w:tcBorders>
              <w:top w:val="single" w:sz="4" w:space="0" w:color="auto"/>
            </w:tcBorders>
            <w:vAlign w:val="center"/>
            <w:hideMark/>
          </w:tcPr>
          <w:p w14:paraId="5F9B9706"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lastRenderedPageBreak/>
              <w:t>Teaching Practices</w:t>
            </w:r>
          </w:p>
        </w:tc>
        <w:tc>
          <w:tcPr>
            <w:tcW w:w="0" w:type="auto"/>
            <w:tcBorders>
              <w:top w:val="single" w:sz="4" w:space="0" w:color="auto"/>
            </w:tcBorders>
            <w:vAlign w:val="center"/>
            <w:hideMark/>
          </w:tcPr>
          <w:p w14:paraId="6EFD98FE"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Tutors adapt methods to adult learners, using flexible and adaptive approaches.</w:t>
            </w:r>
          </w:p>
        </w:tc>
        <w:tc>
          <w:tcPr>
            <w:tcW w:w="0" w:type="auto"/>
            <w:tcBorders>
              <w:top w:val="single" w:sz="4" w:space="0" w:color="auto"/>
            </w:tcBorders>
            <w:vAlign w:val="center"/>
            <w:hideMark/>
          </w:tcPr>
          <w:p w14:paraId="11E343FC"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Tutors employ project</w:t>
            </w:r>
            <w:r w:rsidRPr="006A25B7">
              <w:rPr>
                <w:rFonts w:ascii="Book Antiqua" w:hAnsi="Book Antiqua" w:cs="Courier New"/>
                <w:sz w:val="20"/>
                <w:szCs w:val="20"/>
              </w:rPr>
              <w:noBreakHyphen/>
              <w:t>based and face</w:t>
            </w:r>
            <w:r w:rsidRPr="006A25B7">
              <w:rPr>
                <w:rFonts w:ascii="Book Antiqua" w:hAnsi="Book Antiqua" w:cs="Courier New"/>
                <w:sz w:val="20"/>
                <w:szCs w:val="20"/>
              </w:rPr>
              <w:noBreakHyphen/>
              <w:t>to</w:t>
            </w:r>
            <w:r w:rsidRPr="006A25B7">
              <w:rPr>
                <w:rFonts w:ascii="Book Antiqua" w:hAnsi="Book Antiqua" w:cs="Courier New"/>
                <w:sz w:val="20"/>
                <w:szCs w:val="20"/>
              </w:rPr>
              <w:noBreakHyphen/>
              <w:t>face methods, tailored to adult learners with family responsibilities.</w:t>
            </w:r>
          </w:p>
        </w:tc>
        <w:tc>
          <w:tcPr>
            <w:tcW w:w="0" w:type="auto"/>
            <w:tcBorders>
              <w:top w:val="single" w:sz="4" w:space="0" w:color="auto"/>
            </w:tcBorders>
            <w:vAlign w:val="center"/>
            <w:hideMark/>
          </w:tcPr>
          <w:p w14:paraId="56B3C9D3"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Teaching methods adapted to learner conditions; Merah Putih more flexible, Azka Bamega emphasizes project work and direct interaction.</w:t>
            </w:r>
          </w:p>
        </w:tc>
      </w:tr>
      <w:tr w:rsidR="00D77150" w:rsidRPr="006A25B7" w14:paraId="1F5AFE2F" w14:textId="77777777" w:rsidTr="005B5B2B">
        <w:trPr>
          <w:tblCellSpacing w:w="15" w:type="dxa"/>
          <w:jc w:val="center"/>
        </w:trPr>
        <w:tc>
          <w:tcPr>
            <w:tcW w:w="0" w:type="auto"/>
            <w:tcBorders>
              <w:top w:val="single" w:sz="4" w:space="0" w:color="auto"/>
            </w:tcBorders>
            <w:vAlign w:val="center"/>
            <w:hideMark/>
          </w:tcPr>
          <w:p w14:paraId="5D2E93B5"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Contribution to Evaluation</w:t>
            </w:r>
          </w:p>
        </w:tc>
        <w:tc>
          <w:tcPr>
            <w:tcW w:w="0" w:type="auto"/>
            <w:tcBorders>
              <w:top w:val="single" w:sz="4" w:space="0" w:color="auto"/>
            </w:tcBorders>
            <w:vAlign w:val="center"/>
            <w:hideMark/>
          </w:tcPr>
          <w:p w14:paraId="5EE5665C"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Tutors participate in program evaluation through discussions with PKBM head and learners.</w:t>
            </w:r>
          </w:p>
        </w:tc>
        <w:tc>
          <w:tcPr>
            <w:tcW w:w="0" w:type="auto"/>
            <w:tcBorders>
              <w:top w:val="single" w:sz="4" w:space="0" w:color="auto"/>
            </w:tcBorders>
            <w:vAlign w:val="center"/>
            <w:hideMark/>
          </w:tcPr>
          <w:p w14:paraId="2194CEEF"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Tutors join evaluation through deliberation, feedback used to improve learning system.</w:t>
            </w:r>
          </w:p>
        </w:tc>
        <w:tc>
          <w:tcPr>
            <w:tcW w:w="0" w:type="auto"/>
            <w:tcBorders>
              <w:top w:val="single" w:sz="4" w:space="0" w:color="auto"/>
            </w:tcBorders>
            <w:vAlign w:val="center"/>
            <w:hideMark/>
          </w:tcPr>
          <w:p w14:paraId="64D375CC"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Evaluation is participatory in both PKBM; Merah Putih emphasizes learner involvement, Azka Bamega emphasizes tutor feedback.</w:t>
            </w:r>
          </w:p>
        </w:tc>
      </w:tr>
      <w:tr w:rsidR="00D77150" w:rsidRPr="006A25B7" w14:paraId="784F1E99" w14:textId="77777777" w:rsidTr="005B5B2B">
        <w:trPr>
          <w:tblCellSpacing w:w="15" w:type="dxa"/>
          <w:jc w:val="center"/>
        </w:trPr>
        <w:tc>
          <w:tcPr>
            <w:tcW w:w="0" w:type="auto"/>
            <w:tcBorders>
              <w:top w:val="single" w:sz="4" w:space="0" w:color="auto"/>
              <w:bottom w:val="single" w:sz="4" w:space="0" w:color="auto"/>
            </w:tcBorders>
            <w:vAlign w:val="center"/>
            <w:hideMark/>
          </w:tcPr>
          <w:p w14:paraId="00D61A35"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Innovation Development</w:t>
            </w:r>
          </w:p>
        </w:tc>
        <w:tc>
          <w:tcPr>
            <w:tcW w:w="0" w:type="auto"/>
            <w:tcBorders>
              <w:top w:val="single" w:sz="4" w:space="0" w:color="auto"/>
              <w:bottom w:val="single" w:sz="4" w:space="0" w:color="auto"/>
            </w:tcBorders>
            <w:vAlign w:val="center"/>
            <w:hideMark/>
          </w:tcPr>
          <w:p w14:paraId="30B82185"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Tutors develop community</w:t>
            </w:r>
            <w:r w:rsidRPr="006A25B7">
              <w:rPr>
                <w:rFonts w:ascii="Book Antiqua" w:hAnsi="Book Antiqua" w:cs="Courier New"/>
                <w:sz w:val="20"/>
                <w:szCs w:val="20"/>
              </w:rPr>
              <w:noBreakHyphen/>
              <w:t>based innovations, using simple technology (e.g., WhatsApp) for communication and coordination.</w:t>
            </w:r>
          </w:p>
        </w:tc>
        <w:tc>
          <w:tcPr>
            <w:tcW w:w="0" w:type="auto"/>
            <w:tcBorders>
              <w:top w:val="single" w:sz="4" w:space="0" w:color="auto"/>
              <w:bottom w:val="single" w:sz="4" w:space="0" w:color="auto"/>
            </w:tcBorders>
            <w:vAlign w:val="center"/>
            <w:hideMark/>
          </w:tcPr>
          <w:p w14:paraId="22EAC2FC"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Tutors develop community</w:t>
            </w:r>
            <w:r w:rsidRPr="006A25B7">
              <w:rPr>
                <w:rFonts w:ascii="Book Antiqua" w:hAnsi="Book Antiqua" w:cs="Courier New"/>
                <w:sz w:val="20"/>
                <w:szCs w:val="20"/>
              </w:rPr>
              <w:noBreakHyphen/>
              <w:t>based innovations focusing on practical skills and learner motivation.</w:t>
            </w:r>
          </w:p>
        </w:tc>
        <w:tc>
          <w:tcPr>
            <w:tcW w:w="0" w:type="auto"/>
            <w:tcBorders>
              <w:top w:val="single" w:sz="4" w:space="0" w:color="auto"/>
              <w:bottom w:val="single" w:sz="4" w:space="0" w:color="auto"/>
            </w:tcBorders>
            <w:vAlign w:val="center"/>
            <w:hideMark/>
          </w:tcPr>
          <w:p w14:paraId="23471075" w14:textId="77777777" w:rsidR="00D77150" w:rsidRPr="006A25B7" w:rsidRDefault="00D77150" w:rsidP="00DC3CAE">
            <w:pPr>
              <w:rPr>
                <w:rFonts w:ascii="Book Antiqua" w:hAnsi="Book Antiqua" w:cs="Courier New"/>
                <w:sz w:val="20"/>
                <w:szCs w:val="20"/>
              </w:rPr>
            </w:pPr>
            <w:r w:rsidRPr="006A25B7">
              <w:rPr>
                <w:rFonts w:ascii="Book Antiqua" w:hAnsi="Book Antiqua" w:cs="Courier New"/>
                <w:sz w:val="20"/>
                <w:szCs w:val="20"/>
              </w:rPr>
              <w:t>Both emphasize community</w:t>
            </w:r>
            <w:r w:rsidRPr="006A25B7">
              <w:rPr>
                <w:rFonts w:ascii="Book Antiqua" w:hAnsi="Book Antiqua" w:cs="Courier New"/>
                <w:sz w:val="20"/>
                <w:szCs w:val="20"/>
              </w:rPr>
              <w:noBreakHyphen/>
              <w:t>based innovation; Merah Putih relies on simple technology, Azka Bamega focuses on strengthening skills and motivation.</w:t>
            </w:r>
          </w:p>
        </w:tc>
      </w:tr>
    </w:tbl>
    <w:p w14:paraId="419885BC" w14:textId="77777777" w:rsidR="001A4114" w:rsidRPr="006A25B7" w:rsidRDefault="001A4114" w:rsidP="00820353">
      <w:pPr>
        <w:jc w:val="both"/>
        <w:rPr>
          <w:rFonts w:ascii="Book Antiqua" w:hAnsi="Book Antiqua" w:cs="Courier New"/>
          <w:sz w:val="22"/>
          <w:szCs w:val="22"/>
        </w:rPr>
      </w:pPr>
    </w:p>
    <w:p w14:paraId="4C586EFA" w14:textId="77777777" w:rsidR="00C05B96" w:rsidRPr="006A25B7" w:rsidRDefault="00C05B96" w:rsidP="00F55D37">
      <w:pPr>
        <w:spacing w:line="276" w:lineRule="auto"/>
        <w:ind w:firstLine="720"/>
        <w:jc w:val="both"/>
        <w:rPr>
          <w:rFonts w:ascii="Book Antiqua" w:hAnsi="Book Antiqua" w:cs="Courier New"/>
          <w:sz w:val="22"/>
          <w:szCs w:val="22"/>
          <w:lang w:val="en-US"/>
        </w:rPr>
      </w:pPr>
      <w:r w:rsidRPr="006A25B7">
        <w:rPr>
          <w:rFonts w:ascii="Book Antiqua" w:hAnsi="Book Antiqua" w:cs="Courier New"/>
          <w:sz w:val="22"/>
          <w:szCs w:val="22"/>
          <w:lang w:val="en-US"/>
        </w:rPr>
        <w:t>Table 3 shows that educator involvement in both PKBM covers planning, teaching, evaluation, and innovation, but differs in depth. PKBM Merah Putih demonstrates more structured and participatory involvement, while PKBM Azka Bamega tends to be more flexible but directive, with educators largely acting as implementers.</w:t>
      </w:r>
    </w:p>
    <w:p w14:paraId="77A63C64" w14:textId="77777777" w:rsidR="00C05B96" w:rsidRPr="006A25B7" w:rsidRDefault="00C05B96" w:rsidP="00F55D37">
      <w:pPr>
        <w:spacing w:line="276" w:lineRule="auto"/>
        <w:ind w:firstLine="720"/>
        <w:jc w:val="both"/>
        <w:rPr>
          <w:rFonts w:ascii="Book Antiqua" w:hAnsi="Book Antiqua" w:cs="Courier New"/>
          <w:sz w:val="22"/>
          <w:szCs w:val="22"/>
          <w:lang w:val="en-US"/>
        </w:rPr>
      </w:pPr>
      <w:r w:rsidRPr="006A25B7">
        <w:rPr>
          <w:rFonts w:ascii="Book Antiqua" w:hAnsi="Book Antiqua" w:cs="Courier New"/>
          <w:sz w:val="22"/>
          <w:szCs w:val="22"/>
          <w:lang w:val="en-US"/>
        </w:rPr>
        <w:t>These differences are closely related to communication strategies in Table 4. Both PKBM apply multidirectional communication, but Merah Putih emphasizes dialogical and participatory interaction, whereas Azka Bamega relies more on directive communication to support efficiency and external partnerships.</w:t>
      </w:r>
    </w:p>
    <w:p w14:paraId="54459BDE" w14:textId="77777777" w:rsidR="00DC3CAE" w:rsidRPr="006A25B7" w:rsidRDefault="00DC3CAE" w:rsidP="00820353">
      <w:pPr>
        <w:rPr>
          <w:rFonts w:ascii="Book Antiqua" w:hAnsi="Book Antiqua" w:cs="Courier New"/>
          <w:b/>
          <w:bCs/>
          <w:sz w:val="22"/>
          <w:szCs w:val="22"/>
        </w:rPr>
      </w:pPr>
    </w:p>
    <w:p w14:paraId="62CB46B2" w14:textId="16BD274D" w:rsidR="005B5B2B" w:rsidRPr="006A25B7" w:rsidRDefault="005B5B2B" w:rsidP="00DC3CAE">
      <w:pPr>
        <w:spacing w:line="360" w:lineRule="auto"/>
        <w:jc w:val="center"/>
        <w:rPr>
          <w:rFonts w:ascii="Book Antiqua" w:hAnsi="Book Antiqua" w:cs="Courier New"/>
          <w:b/>
          <w:bCs/>
          <w:sz w:val="20"/>
          <w:szCs w:val="20"/>
        </w:rPr>
      </w:pPr>
      <w:r w:rsidRPr="006A25B7">
        <w:rPr>
          <w:rFonts w:ascii="Book Antiqua" w:hAnsi="Book Antiqua" w:cs="Courier New"/>
          <w:b/>
          <w:bCs/>
          <w:sz w:val="20"/>
          <w:szCs w:val="20"/>
        </w:rPr>
        <w:t xml:space="preserve">Table 4. </w:t>
      </w:r>
      <w:r w:rsidRPr="006A25B7">
        <w:rPr>
          <w:rFonts w:ascii="Book Antiqua" w:hAnsi="Book Antiqua" w:cs="Courier New"/>
          <w:sz w:val="20"/>
          <w:szCs w:val="20"/>
        </w:rPr>
        <w:t>Cross</w:t>
      </w:r>
      <w:r w:rsidRPr="006A25B7">
        <w:rPr>
          <w:rFonts w:ascii="Book Antiqua" w:hAnsi="Book Antiqua" w:cs="Courier New"/>
          <w:sz w:val="20"/>
          <w:szCs w:val="20"/>
        </w:rPr>
        <w:noBreakHyphen/>
        <w:t>Site Findings on Communication Strategies of PKBM Heads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3"/>
        <w:gridCol w:w="2586"/>
        <w:gridCol w:w="2053"/>
        <w:gridCol w:w="2604"/>
      </w:tblGrid>
      <w:tr w:rsidR="005B5B2B" w:rsidRPr="006A25B7" w14:paraId="4AE61988" w14:textId="77777777" w:rsidTr="005B5B2B">
        <w:trPr>
          <w:tblHeader/>
          <w:tblCellSpacing w:w="15" w:type="dxa"/>
        </w:trPr>
        <w:tc>
          <w:tcPr>
            <w:tcW w:w="0" w:type="auto"/>
            <w:tcBorders>
              <w:top w:val="single" w:sz="4" w:space="0" w:color="auto"/>
              <w:bottom w:val="single" w:sz="4" w:space="0" w:color="auto"/>
            </w:tcBorders>
            <w:vAlign w:val="center"/>
            <w:hideMark/>
          </w:tcPr>
          <w:p w14:paraId="70DAB709" w14:textId="77777777" w:rsidR="005B5B2B" w:rsidRPr="006A25B7" w:rsidRDefault="005B5B2B" w:rsidP="00DC3CAE">
            <w:pPr>
              <w:rPr>
                <w:rFonts w:ascii="Book Antiqua" w:hAnsi="Book Antiqua" w:cs="Courier New"/>
                <w:b/>
                <w:bCs/>
                <w:sz w:val="20"/>
                <w:szCs w:val="20"/>
              </w:rPr>
            </w:pPr>
            <w:r w:rsidRPr="006A25B7">
              <w:rPr>
                <w:rFonts w:ascii="Book Antiqua" w:hAnsi="Book Antiqua" w:cs="Courier New"/>
                <w:b/>
                <w:bCs/>
                <w:sz w:val="20"/>
                <w:szCs w:val="20"/>
              </w:rPr>
              <w:t>Communication Strategy</w:t>
            </w:r>
          </w:p>
        </w:tc>
        <w:tc>
          <w:tcPr>
            <w:tcW w:w="0" w:type="auto"/>
            <w:tcBorders>
              <w:top w:val="single" w:sz="4" w:space="0" w:color="auto"/>
              <w:bottom w:val="single" w:sz="4" w:space="0" w:color="auto"/>
            </w:tcBorders>
            <w:vAlign w:val="center"/>
            <w:hideMark/>
          </w:tcPr>
          <w:p w14:paraId="11ACD693" w14:textId="77777777" w:rsidR="005B5B2B" w:rsidRPr="006A25B7" w:rsidRDefault="005B5B2B" w:rsidP="00DC3CAE">
            <w:pPr>
              <w:rPr>
                <w:rFonts w:ascii="Book Antiqua" w:hAnsi="Book Antiqua" w:cs="Courier New"/>
                <w:b/>
                <w:bCs/>
                <w:sz w:val="20"/>
                <w:szCs w:val="20"/>
              </w:rPr>
            </w:pPr>
            <w:r w:rsidRPr="006A25B7">
              <w:rPr>
                <w:rFonts w:ascii="Book Antiqua" w:hAnsi="Book Antiqua" w:cs="Courier New"/>
                <w:b/>
                <w:bCs/>
                <w:sz w:val="20"/>
                <w:szCs w:val="20"/>
              </w:rPr>
              <w:t>Site 1 (PKBM Merah Putih)</w:t>
            </w:r>
          </w:p>
        </w:tc>
        <w:tc>
          <w:tcPr>
            <w:tcW w:w="0" w:type="auto"/>
            <w:tcBorders>
              <w:top w:val="single" w:sz="4" w:space="0" w:color="auto"/>
              <w:bottom w:val="single" w:sz="4" w:space="0" w:color="auto"/>
            </w:tcBorders>
            <w:vAlign w:val="center"/>
            <w:hideMark/>
          </w:tcPr>
          <w:p w14:paraId="2EB07416" w14:textId="77777777" w:rsidR="005B5B2B" w:rsidRPr="006A25B7" w:rsidRDefault="005B5B2B" w:rsidP="00DC3CAE">
            <w:pPr>
              <w:rPr>
                <w:rFonts w:ascii="Book Antiqua" w:hAnsi="Book Antiqua" w:cs="Courier New"/>
                <w:b/>
                <w:bCs/>
                <w:sz w:val="20"/>
                <w:szCs w:val="20"/>
              </w:rPr>
            </w:pPr>
            <w:r w:rsidRPr="006A25B7">
              <w:rPr>
                <w:rFonts w:ascii="Book Antiqua" w:hAnsi="Book Antiqua" w:cs="Courier New"/>
                <w:b/>
                <w:bCs/>
                <w:sz w:val="20"/>
                <w:szCs w:val="20"/>
              </w:rPr>
              <w:t>Site 2 (PKBM Azka Bamega)</w:t>
            </w:r>
          </w:p>
        </w:tc>
        <w:tc>
          <w:tcPr>
            <w:tcW w:w="0" w:type="auto"/>
            <w:tcBorders>
              <w:top w:val="single" w:sz="4" w:space="0" w:color="auto"/>
              <w:bottom w:val="single" w:sz="4" w:space="0" w:color="auto"/>
            </w:tcBorders>
            <w:vAlign w:val="center"/>
            <w:hideMark/>
          </w:tcPr>
          <w:p w14:paraId="426229B0" w14:textId="77777777" w:rsidR="005B5B2B" w:rsidRPr="006A25B7" w:rsidRDefault="005B5B2B" w:rsidP="00DC3CAE">
            <w:pPr>
              <w:rPr>
                <w:rFonts w:ascii="Book Antiqua" w:hAnsi="Book Antiqua" w:cs="Courier New"/>
                <w:b/>
                <w:bCs/>
                <w:sz w:val="20"/>
                <w:szCs w:val="20"/>
              </w:rPr>
            </w:pPr>
            <w:r w:rsidRPr="006A25B7">
              <w:rPr>
                <w:rFonts w:ascii="Book Antiqua" w:hAnsi="Book Antiqua" w:cs="Courier New"/>
                <w:b/>
                <w:bCs/>
                <w:sz w:val="20"/>
                <w:szCs w:val="20"/>
              </w:rPr>
              <w:t>Cross</w:t>
            </w:r>
            <w:r w:rsidRPr="006A25B7">
              <w:rPr>
                <w:rFonts w:ascii="Book Antiqua" w:hAnsi="Book Antiqua" w:cs="Courier New"/>
                <w:b/>
                <w:bCs/>
                <w:sz w:val="20"/>
                <w:szCs w:val="20"/>
              </w:rPr>
              <w:noBreakHyphen/>
              <w:t>Site Synthesis</w:t>
            </w:r>
          </w:p>
        </w:tc>
      </w:tr>
      <w:tr w:rsidR="005B5B2B" w:rsidRPr="006A25B7" w14:paraId="4792B5AD" w14:textId="77777777" w:rsidTr="005B5B2B">
        <w:trPr>
          <w:tblCellSpacing w:w="15" w:type="dxa"/>
        </w:trPr>
        <w:tc>
          <w:tcPr>
            <w:tcW w:w="0" w:type="auto"/>
            <w:tcBorders>
              <w:bottom w:val="single" w:sz="4" w:space="0" w:color="auto"/>
            </w:tcBorders>
            <w:vAlign w:val="center"/>
            <w:hideMark/>
          </w:tcPr>
          <w:p w14:paraId="786E5304"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Top</w:t>
            </w:r>
            <w:r w:rsidRPr="006A25B7">
              <w:rPr>
                <w:rFonts w:ascii="Book Antiqua" w:hAnsi="Book Antiqua" w:cs="Courier New"/>
                <w:sz w:val="20"/>
                <w:szCs w:val="20"/>
              </w:rPr>
              <w:noBreakHyphen/>
              <w:t>Down</w:t>
            </w:r>
          </w:p>
        </w:tc>
        <w:tc>
          <w:tcPr>
            <w:tcW w:w="0" w:type="auto"/>
            <w:tcBorders>
              <w:bottom w:val="single" w:sz="4" w:space="0" w:color="auto"/>
            </w:tcBorders>
            <w:vAlign w:val="center"/>
            <w:hideMark/>
          </w:tcPr>
          <w:p w14:paraId="3B73ADC6"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PKBM head delivers policies and technical instructions clearly in meetings, including schedule adjustments and accreditation preparation.</w:t>
            </w:r>
          </w:p>
        </w:tc>
        <w:tc>
          <w:tcPr>
            <w:tcW w:w="0" w:type="auto"/>
            <w:tcBorders>
              <w:bottom w:val="single" w:sz="4" w:space="0" w:color="auto"/>
            </w:tcBorders>
            <w:vAlign w:val="center"/>
            <w:hideMark/>
          </w:tcPr>
          <w:p w14:paraId="5FDE5F5E"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PKBM head provides firm instructions regarding national exams (ANBK) and learning systems, giving tutors clear work guidelines.</w:t>
            </w:r>
          </w:p>
        </w:tc>
        <w:tc>
          <w:tcPr>
            <w:tcW w:w="0" w:type="auto"/>
            <w:tcBorders>
              <w:bottom w:val="single" w:sz="4" w:space="0" w:color="auto"/>
            </w:tcBorders>
            <w:vAlign w:val="center"/>
            <w:hideMark/>
          </w:tcPr>
          <w:p w14:paraId="70FD7C33"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Both emphasize clarity of instructions; Merah Putih stresses collaborative aspects, Azka Bamega emphasizes firmness and structure.</w:t>
            </w:r>
          </w:p>
        </w:tc>
      </w:tr>
      <w:tr w:rsidR="005B5B2B" w:rsidRPr="006A25B7" w14:paraId="250AFD52" w14:textId="77777777" w:rsidTr="00602FED">
        <w:trPr>
          <w:tblCellSpacing w:w="15" w:type="dxa"/>
        </w:trPr>
        <w:tc>
          <w:tcPr>
            <w:tcW w:w="0" w:type="auto"/>
            <w:vAlign w:val="center"/>
            <w:hideMark/>
          </w:tcPr>
          <w:p w14:paraId="62507F25"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Bottom</w:t>
            </w:r>
            <w:r w:rsidRPr="006A25B7">
              <w:rPr>
                <w:rFonts w:ascii="Book Antiqua" w:hAnsi="Book Antiqua" w:cs="Courier New"/>
                <w:sz w:val="20"/>
                <w:szCs w:val="20"/>
              </w:rPr>
              <w:noBreakHyphen/>
              <w:t>Up</w:t>
            </w:r>
          </w:p>
        </w:tc>
        <w:tc>
          <w:tcPr>
            <w:tcW w:w="0" w:type="auto"/>
            <w:vAlign w:val="center"/>
            <w:hideMark/>
          </w:tcPr>
          <w:p w14:paraId="452A8B5A"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Tutors and learners given space to provide input in formal meetings and informal discussions.</w:t>
            </w:r>
          </w:p>
        </w:tc>
        <w:tc>
          <w:tcPr>
            <w:tcW w:w="0" w:type="auto"/>
            <w:vAlign w:val="center"/>
            <w:hideMark/>
          </w:tcPr>
          <w:p w14:paraId="0C30DE87"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PKBM head accepts direct input from tutors and learners without rigid formal mechanisms.</w:t>
            </w:r>
          </w:p>
        </w:tc>
        <w:tc>
          <w:tcPr>
            <w:tcW w:w="0" w:type="auto"/>
            <w:vAlign w:val="center"/>
            <w:hideMark/>
          </w:tcPr>
          <w:p w14:paraId="49D5AAEC"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Bottom</w:t>
            </w:r>
            <w:r w:rsidRPr="006A25B7">
              <w:rPr>
                <w:rFonts w:ascii="Book Antiqua" w:hAnsi="Book Antiqua" w:cs="Courier New"/>
                <w:sz w:val="20"/>
                <w:szCs w:val="20"/>
              </w:rPr>
              <w:noBreakHyphen/>
              <w:t>up communication applied in both PKBM; Merah Putih more formal via meetings, Azka Bamega more flexible.</w:t>
            </w:r>
          </w:p>
        </w:tc>
      </w:tr>
      <w:tr w:rsidR="005B5B2B" w:rsidRPr="006A25B7" w14:paraId="50B0076A" w14:textId="77777777" w:rsidTr="005B5B2B">
        <w:trPr>
          <w:tblCellSpacing w:w="15" w:type="dxa"/>
        </w:trPr>
        <w:tc>
          <w:tcPr>
            <w:tcW w:w="0" w:type="auto"/>
            <w:tcBorders>
              <w:top w:val="single" w:sz="4" w:space="0" w:color="auto"/>
            </w:tcBorders>
            <w:vAlign w:val="center"/>
            <w:hideMark/>
          </w:tcPr>
          <w:p w14:paraId="31A5079C"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Horizontal</w:t>
            </w:r>
          </w:p>
        </w:tc>
        <w:tc>
          <w:tcPr>
            <w:tcW w:w="0" w:type="auto"/>
            <w:tcBorders>
              <w:top w:val="single" w:sz="4" w:space="0" w:color="auto"/>
            </w:tcBorders>
            <w:vAlign w:val="center"/>
            <w:hideMark/>
          </w:tcPr>
          <w:p w14:paraId="2321B6D4"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 xml:space="preserve">Tutors coordinate in preparing modules, social </w:t>
            </w:r>
            <w:r w:rsidRPr="006A25B7">
              <w:rPr>
                <w:rFonts w:ascii="Book Antiqua" w:hAnsi="Book Antiqua" w:cs="Courier New"/>
                <w:sz w:val="20"/>
                <w:szCs w:val="20"/>
              </w:rPr>
              <w:lastRenderedPageBreak/>
              <w:t>activities, and community</w:t>
            </w:r>
            <w:r w:rsidRPr="006A25B7">
              <w:rPr>
                <w:rFonts w:ascii="Book Antiqua" w:hAnsi="Book Antiqua" w:cs="Courier New"/>
                <w:sz w:val="20"/>
                <w:szCs w:val="20"/>
              </w:rPr>
              <w:noBreakHyphen/>
              <w:t>based training.</w:t>
            </w:r>
          </w:p>
        </w:tc>
        <w:tc>
          <w:tcPr>
            <w:tcW w:w="0" w:type="auto"/>
            <w:tcBorders>
              <w:top w:val="single" w:sz="4" w:space="0" w:color="auto"/>
            </w:tcBorders>
            <w:vAlign w:val="center"/>
            <w:hideMark/>
          </w:tcPr>
          <w:p w14:paraId="5F6F9D9C"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lastRenderedPageBreak/>
              <w:t xml:space="preserve">Tutors collaborate in planning learning, </w:t>
            </w:r>
            <w:r w:rsidRPr="006A25B7">
              <w:rPr>
                <w:rFonts w:ascii="Book Antiqua" w:hAnsi="Book Antiqua" w:cs="Courier New"/>
                <w:sz w:val="20"/>
                <w:szCs w:val="20"/>
              </w:rPr>
              <w:lastRenderedPageBreak/>
              <w:t>vocational training, and social activities with the community.</w:t>
            </w:r>
          </w:p>
        </w:tc>
        <w:tc>
          <w:tcPr>
            <w:tcW w:w="0" w:type="auto"/>
            <w:tcBorders>
              <w:top w:val="single" w:sz="4" w:space="0" w:color="auto"/>
            </w:tcBorders>
            <w:vAlign w:val="center"/>
            <w:hideMark/>
          </w:tcPr>
          <w:p w14:paraId="57FE4528"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lastRenderedPageBreak/>
              <w:t xml:space="preserve">Horizontal communication strengthens tutor </w:t>
            </w:r>
            <w:r w:rsidRPr="006A25B7">
              <w:rPr>
                <w:rFonts w:ascii="Book Antiqua" w:hAnsi="Book Antiqua" w:cs="Courier New"/>
                <w:sz w:val="20"/>
                <w:szCs w:val="20"/>
              </w:rPr>
              <w:lastRenderedPageBreak/>
              <w:t>collaboration in both PKBM; Merah Putih emphasizes academic coordination, Azka Bamega emphasizes practical and vocational coordination.</w:t>
            </w:r>
          </w:p>
        </w:tc>
      </w:tr>
      <w:tr w:rsidR="005B5B2B" w:rsidRPr="006A25B7" w14:paraId="6559936F" w14:textId="77777777" w:rsidTr="005B5B2B">
        <w:trPr>
          <w:tblCellSpacing w:w="15" w:type="dxa"/>
        </w:trPr>
        <w:tc>
          <w:tcPr>
            <w:tcW w:w="0" w:type="auto"/>
            <w:tcBorders>
              <w:top w:val="single" w:sz="4" w:space="0" w:color="auto"/>
              <w:bottom w:val="single" w:sz="4" w:space="0" w:color="auto"/>
            </w:tcBorders>
            <w:vAlign w:val="center"/>
            <w:hideMark/>
          </w:tcPr>
          <w:p w14:paraId="0C195F54"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lastRenderedPageBreak/>
              <w:t>Lateral</w:t>
            </w:r>
          </w:p>
        </w:tc>
        <w:tc>
          <w:tcPr>
            <w:tcW w:w="0" w:type="auto"/>
            <w:tcBorders>
              <w:top w:val="single" w:sz="4" w:space="0" w:color="auto"/>
              <w:bottom w:val="single" w:sz="4" w:space="0" w:color="auto"/>
            </w:tcBorders>
            <w:vAlign w:val="center"/>
            <w:hideMark/>
          </w:tcPr>
          <w:p w14:paraId="446AC99F"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PKBM head communicates with community leaders through informal meetings and collaborates with external institutions (local government, health centers).</w:t>
            </w:r>
          </w:p>
        </w:tc>
        <w:tc>
          <w:tcPr>
            <w:tcW w:w="0" w:type="auto"/>
            <w:tcBorders>
              <w:top w:val="single" w:sz="4" w:space="0" w:color="auto"/>
              <w:bottom w:val="single" w:sz="4" w:space="0" w:color="auto"/>
            </w:tcBorders>
            <w:vAlign w:val="center"/>
            <w:hideMark/>
          </w:tcPr>
          <w:p w14:paraId="4FC5A3C4"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PKBM head actively builds relationships with local organizations and government to support training and social activities.</w:t>
            </w:r>
          </w:p>
        </w:tc>
        <w:tc>
          <w:tcPr>
            <w:tcW w:w="0" w:type="auto"/>
            <w:tcBorders>
              <w:top w:val="single" w:sz="4" w:space="0" w:color="auto"/>
              <w:bottom w:val="single" w:sz="4" w:space="0" w:color="auto"/>
            </w:tcBorders>
            <w:vAlign w:val="center"/>
            <w:hideMark/>
          </w:tcPr>
          <w:p w14:paraId="6C286939" w14:textId="77777777" w:rsidR="005B5B2B" w:rsidRPr="006A25B7" w:rsidRDefault="005B5B2B" w:rsidP="00DC3CAE">
            <w:pPr>
              <w:rPr>
                <w:rFonts w:ascii="Book Antiqua" w:hAnsi="Book Antiqua" w:cs="Courier New"/>
                <w:sz w:val="20"/>
                <w:szCs w:val="20"/>
              </w:rPr>
            </w:pPr>
            <w:r w:rsidRPr="006A25B7">
              <w:rPr>
                <w:rFonts w:ascii="Book Antiqua" w:hAnsi="Book Antiqua" w:cs="Courier New"/>
                <w:sz w:val="20"/>
                <w:szCs w:val="20"/>
              </w:rPr>
              <w:t>Lateral communication strengthens institutional legitimacy; Merah Putih focuses on social collaboration, Azka Bamega on external and governmental support.</w:t>
            </w:r>
          </w:p>
        </w:tc>
      </w:tr>
    </w:tbl>
    <w:p w14:paraId="0ACDCC34" w14:textId="77777777" w:rsidR="005B4567" w:rsidRPr="006A25B7" w:rsidRDefault="005B4567" w:rsidP="00820353">
      <w:pPr>
        <w:rPr>
          <w:rFonts w:ascii="Book Antiqua" w:hAnsi="Book Antiqua" w:cs="Courier New"/>
          <w:sz w:val="22"/>
          <w:szCs w:val="22"/>
        </w:rPr>
      </w:pPr>
    </w:p>
    <w:p w14:paraId="2D779F23" w14:textId="77777777" w:rsidR="000A1966" w:rsidRPr="006A25B7" w:rsidRDefault="000A1966" w:rsidP="00F55D37">
      <w:pPr>
        <w:spacing w:line="276" w:lineRule="auto"/>
        <w:ind w:firstLine="720"/>
        <w:jc w:val="both"/>
        <w:rPr>
          <w:rFonts w:ascii="Book Antiqua" w:hAnsi="Book Antiqua" w:cs="Courier New"/>
          <w:noProof/>
          <w:sz w:val="22"/>
          <w:szCs w:val="22"/>
          <w:lang w:val="en-US"/>
        </w:rPr>
      </w:pPr>
      <w:r w:rsidRPr="006A25B7">
        <w:rPr>
          <w:rFonts w:ascii="Book Antiqua" w:hAnsi="Book Antiqua" w:cs="Courier New"/>
          <w:noProof/>
          <w:sz w:val="22"/>
          <w:szCs w:val="22"/>
          <w:lang w:val="en-US"/>
        </w:rPr>
        <w:t>Table 4 shows that both PKBM apply multidirectional communication (top-down, bottom-up, horizontal, and lateral), but with different emphases. PKBM Merah Putih uses more dialogical and participatory communication to support transparency and collaboration, while PKBM Azka Bamega relies on more directive and relational communication to ensure efficiency and strengthen external partnerships.</w:t>
      </w:r>
    </w:p>
    <w:p w14:paraId="12D0A17E" w14:textId="4BAB5596" w:rsidR="000A4B25" w:rsidRPr="00820353" w:rsidRDefault="000A1966" w:rsidP="00820353">
      <w:pPr>
        <w:spacing w:line="276" w:lineRule="auto"/>
        <w:ind w:firstLine="720"/>
        <w:jc w:val="both"/>
        <w:rPr>
          <w:rFonts w:ascii="Book Antiqua" w:hAnsi="Book Antiqua" w:cs="Courier New"/>
          <w:noProof/>
          <w:sz w:val="22"/>
          <w:szCs w:val="22"/>
          <w:lang w:val="en-US"/>
        </w:rPr>
      </w:pPr>
      <w:r w:rsidRPr="006A25B7">
        <w:rPr>
          <w:rFonts w:ascii="Book Antiqua" w:hAnsi="Book Antiqua" w:cs="Courier New"/>
          <w:noProof/>
          <w:sz w:val="22"/>
          <w:szCs w:val="22"/>
          <w:lang w:val="en-US"/>
        </w:rPr>
        <w:t>These patterns are synthesized in Figure 2 into an adaptive integrative model, where participatory communication strengthens internal collaboration, and directive communication supports external coordination, forming a balanced and context-responsive leadership framework.</w:t>
      </w:r>
    </w:p>
    <w:p w14:paraId="17BF502F" w14:textId="6C9E5FDD" w:rsidR="000A4B25" w:rsidRPr="006A25B7" w:rsidRDefault="000A4B25" w:rsidP="00820353">
      <w:pPr>
        <w:jc w:val="center"/>
        <w:rPr>
          <w:rFonts w:ascii="Book Antiqua" w:hAnsi="Book Antiqua" w:cs="Courier New"/>
          <w:sz w:val="22"/>
          <w:szCs w:val="22"/>
        </w:rPr>
      </w:pPr>
      <w:r w:rsidRPr="006A25B7">
        <w:rPr>
          <w:rFonts w:ascii="Book Antiqua" w:hAnsi="Book Antiqua" w:cs="Courier New"/>
          <w:noProof/>
          <w:sz w:val="22"/>
          <w:szCs w:val="22"/>
        </w:rPr>
        <w:drawing>
          <wp:inline distT="0" distB="0" distL="0" distR="0" wp14:anchorId="637B0242" wp14:editId="6E9039EE">
            <wp:extent cx="4797552" cy="3432624"/>
            <wp:effectExtent l="0" t="0" r="3175" b="0"/>
            <wp:docPr id="779555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55037" name="Picture 779555037"/>
                    <pic:cNvPicPr/>
                  </pic:nvPicPr>
                  <pic:blipFill rotWithShape="1">
                    <a:blip r:embed="rId13">
                      <a:extLst>
                        <a:ext uri="{28A0092B-C50C-407E-A947-70E740481C1C}">
                          <a14:useLocalDpi xmlns:a14="http://schemas.microsoft.com/office/drawing/2010/main" val="0"/>
                        </a:ext>
                      </a:extLst>
                    </a:blip>
                    <a:srcRect t="13558" b="7307"/>
                    <a:stretch>
                      <a:fillRect/>
                    </a:stretch>
                  </pic:blipFill>
                  <pic:spPr bwMode="auto">
                    <a:xfrm>
                      <a:off x="0" y="0"/>
                      <a:ext cx="4823806" cy="3451408"/>
                    </a:xfrm>
                    <a:prstGeom prst="rect">
                      <a:avLst/>
                    </a:prstGeom>
                    <a:ln>
                      <a:noFill/>
                    </a:ln>
                    <a:extLst>
                      <a:ext uri="{53640926-AAD7-44D8-BBD7-CCE9431645EC}">
                        <a14:shadowObscured xmlns:a14="http://schemas.microsoft.com/office/drawing/2010/main"/>
                      </a:ext>
                    </a:extLst>
                  </pic:spPr>
                </pic:pic>
              </a:graphicData>
            </a:graphic>
          </wp:inline>
        </w:drawing>
      </w:r>
    </w:p>
    <w:p w14:paraId="4D6CF1EF" w14:textId="7A615ED1" w:rsidR="005B5B2B" w:rsidRPr="006A25B7" w:rsidRDefault="000A4B25" w:rsidP="00F55D37">
      <w:pPr>
        <w:spacing w:line="276" w:lineRule="auto"/>
        <w:jc w:val="center"/>
        <w:rPr>
          <w:rFonts w:ascii="Book Antiqua" w:hAnsi="Book Antiqua" w:cs="Courier New"/>
          <w:b/>
          <w:bCs/>
          <w:sz w:val="20"/>
          <w:szCs w:val="20"/>
        </w:rPr>
      </w:pPr>
      <w:r w:rsidRPr="006A25B7">
        <w:rPr>
          <w:rFonts w:ascii="Book Antiqua" w:hAnsi="Book Antiqua" w:cs="Courier New"/>
          <w:b/>
          <w:bCs/>
          <w:sz w:val="20"/>
          <w:szCs w:val="20"/>
        </w:rPr>
        <w:t xml:space="preserve">Figure 2. </w:t>
      </w:r>
      <w:r w:rsidRPr="006A25B7">
        <w:rPr>
          <w:rFonts w:ascii="Book Antiqua" w:hAnsi="Book Antiqua" w:cs="Courier New"/>
          <w:sz w:val="20"/>
          <w:szCs w:val="20"/>
        </w:rPr>
        <w:t>Adaptive PKBM Leadership Model: Cross-Site Synthesis</w:t>
      </w:r>
    </w:p>
    <w:p w14:paraId="53BD068D" w14:textId="77777777" w:rsidR="000A4B25" w:rsidRPr="006A25B7" w:rsidRDefault="000A4B25" w:rsidP="00F55D37">
      <w:pPr>
        <w:spacing w:line="276" w:lineRule="auto"/>
        <w:jc w:val="center"/>
        <w:rPr>
          <w:rFonts w:ascii="Book Antiqua" w:hAnsi="Book Antiqua" w:cs="Courier New"/>
          <w:b/>
          <w:bCs/>
          <w:sz w:val="22"/>
          <w:szCs w:val="22"/>
          <w:lang w:val="en"/>
        </w:rPr>
      </w:pPr>
    </w:p>
    <w:p w14:paraId="6895DBED" w14:textId="108A11B0" w:rsidR="00880DC1" w:rsidRPr="006A25B7" w:rsidRDefault="00836049" w:rsidP="00DC3CAE">
      <w:pPr>
        <w:spacing w:line="360" w:lineRule="auto"/>
        <w:jc w:val="both"/>
        <w:rPr>
          <w:rFonts w:ascii="Book Antiqua" w:hAnsi="Book Antiqua" w:cs="Courier New"/>
          <w:b/>
          <w:bCs/>
          <w:lang w:val="en-US"/>
        </w:rPr>
      </w:pPr>
      <w:r w:rsidRPr="006A25B7">
        <w:rPr>
          <w:rFonts w:ascii="Book Antiqua" w:hAnsi="Book Antiqua" w:cs="Courier New"/>
          <w:b/>
          <w:bCs/>
          <w:lang w:val="en"/>
        </w:rPr>
        <w:lastRenderedPageBreak/>
        <w:t>D. Discussion</w:t>
      </w:r>
    </w:p>
    <w:p w14:paraId="291F3AC7" w14:textId="20FAB672" w:rsidR="000A1966" w:rsidRPr="006A25B7" w:rsidRDefault="000A1966" w:rsidP="00F55D37">
      <w:pPr>
        <w:spacing w:line="276" w:lineRule="auto"/>
        <w:ind w:firstLine="720"/>
        <w:jc w:val="both"/>
        <w:rPr>
          <w:rFonts w:ascii="Book Antiqua" w:hAnsi="Book Antiqua" w:cs="Courier New"/>
          <w:sz w:val="22"/>
          <w:szCs w:val="22"/>
          <w:lang w:val="en-US"/>
        </w:rPr>
      </w:pPr>
      <w:r w:rsidRPr="006A25B7">
        <w:rPr>
          <w:rFonts w:ascii="Book Antiqua" w:hAnsi="Book Antiqua" w:cs="Courier New"/>
          <w:sz w:val="22"/>
          <w:szCs w:val="22"/>
          <w:lang w:val="en-US"/>
        </w:rPr>
        <w:t>The findings of this study highlight that leadership strategies in PKBM are not monolithic but adaptive to socio-cultural, economic, and organizational contexts. The cross-site analysis between PKBM Merah Putih and PKBM Azka Bamega demonstrates complementary approaches, indicating that effective community-based education can be achieved through diverse pathways, while remaining responsive to local conditions and sustaining inclusivity (</w:t>
      </w:r>
      <w:hyperlink w:anchor="Wati" w:history="1">
        <w:r w:rsidRPr="006A25B7">
          <w:rPr>
            <w:rStyle w:val="Hyperlink"/>
            <w:rFonts w:ascii="Book Antiqua" w:hAnsi="Book Antiqua" w:cs="Courier New"/>
            <w:sz w:val="22"/>
            <w:szCs w:val="22"/>
            <w:u w:val="none"/>
            <w:lang w:val="en-US"/>
          </w:rPr>
          <w:t>Wati &amp; Khotimah, 2023</w:t>
        </w:r>
      </w:hyperlink>
      <w:r w:rsidRPr="006A25B7">
        <w:rPr>
          <w:rFonts w:ascii="Book Antiqua" w:hAnsi="Book Antiqua" w:cs="Courier New"/>
          <w:sz w:val="22"/>
          <w:szCs w:val="22"/>
          <w:lang w:val="en-US"/>
        </w:rPr>
        <w:t>). At PKBM Merah Putih, leadership is characterized by participatory practices, where collective decision-making and active tutor involvement in planning and evaluation foster a culture of shared responsibility and motivation. This aligns with Yukl’s view of leadership as the ability to influence and motivate members toward shared goals (</w:t>
      </w:r>
      <w:hyperlink w:anchor="Prasetyo" w:history="1">
        <w:r w:rsidRPr="006A25B7">
          <w:rPr>
            <w:rStyle w:val="Hyperlink"/>
            <w:rFonts w:ascii="Book Antiqua" w:hAnsi="Book Antiqua" w:cs="Courier New"/>
            <w:sz w:val="22"/>
            <w:szCs w:val="22"/>
            <w:u w:val="none"/>
            <w:lang w:val="en-US"/>
          </w:rPr>
          <w:t>Prasetyo, 2022</w:t>
        </w:r>
      </w:hyperlink>
      <w:r w:rsidRPr="006A25B7">
        <w:rPr>
          <w:rFonts w:ascii="Book Antiqua" w:hAnsi="Book Antiqua" w:cs="Courier New"/>
          <w:sz w:val="22"/>
          <w:szCs w:val="22"/>
          <w:lang w:val="en-US"/>
        </w:rPr>
        <w:t>), as well as transformational leadership principles emphasizing vision, empowerment, and dialogue (</w:t>
      </w:r>
      <w:hyperlink w:anchor="Norlatifah" w:history="1">
        <w:r w:rsidRPr="006A25B7">
          <w:rPr>
            <w:rStyle w:val="Hyperlink"/>
            <w:rFonts w:ascii="Book Antiqua" w:hAnsi="Book Antiqua" w:cs="Courier New"/>
            <w:sz w:val="22"/>
            <w:szCs w:val="22"/>
            <w:u w:val="none"/>
            <w:lang w:val="en-US"/>
          </w:rPr>
          <w:t>Norlatifah et al., 2024</w:t>
        </w:r>
      </w:hyperlink>
      <w:r w:rsidRPr="006A25B7">
        <w:rPr>
          <w:rFonts w:ascii="Book Antiqua" w:hAnsi="Book Antiqua" w:cs="Courier New"/>
          <w:sz w:val="22"/>
          <w:szCs w:val="22"/>
          <w:lang w:val="en-US"/>
        </w:rPr>
        <w:t xml:space="preserve">; </w:t>
      </w:r>
      <w:hyperlink w:anchor="Sulaxono" w:history="1">
        <w:r w:rsidRPr="006A25B7">
          <w:rPr>
            <w:rStyle w:val="Hyperlink"/>
            <w:rFonts w:ascii="Book Antiqua" w:hAnsi="Book Antiqua" w:cs="Courier New"/>
            <w:sz w:val="22"/>
            <w:szCs w:val="22"/>
            <w:u w:val="none"/>
            <w:lang w:val="en-US"/>
          </w:rPr>
          <w:t>Sulaxono et al., 2020</w:t>
        </w:r>
      </w:hyperlink>
      <w:r w:rsidRPr="006A25B7">
        <w:rPr>
          <w:rFonts w:ascii="Book Antiqua" w:hAnsi="Book Antiqua" w:cs="Courier New"/>
          <w:sz w:val="22"/>
          <w:szCs w:val="22"/>
          <w:lang w:val="en-US"/>
        </w:rPr>
        <w:t xml:space="preserve">; </w:t>
      </w:r>
      <w:hyperlink w:anchor="Sundari" w:history="1">
        <w:r w:rsidRPr="006A25B7">
          <w:rPr>
            <w:rStyle w:val="Hyperlink"/>
            <w:rFonts w:ascii="Book Antiqua" w:hAnsi="Book Antiqua" w:cs="Courier New"/>
            <w:sz w:val="22"/>
            <w:szCs w:val="22"/>
            <w:u w:val="none"/>
            <w:lang w:val="en-US"/>
          </w:rPr>
          <w:t>Sundari et al., 2022</w:t>
        </w:r>
      </w:hyperlink>
      <w:r w:rsidRPr="006A25B7">
        <w:rPr>
          <w:rFonts w:ascii="Book Antiqua" w:hAnsi="Book Antiqua" w:cs="Courier New"/>
          <w:sz w:val="22"/>
          <w:szCs w:val="22"/>
          <w:lang w:val="en-US"/>
        </w:rPr>
        <w:t>). In contrast, PKBM Azka Bamega adopts a centralized approach, where decision-making is concentrated at the leadership level, ensuring efficiency and strong external partnerships, yet limiting opportunities for educator innovation. This reflects perspectives on leadership focused on efficiency and productivity (</w:t>
      </w:r>
      <w:hyperlink w:anchor="Hidayati" w:history="1">
        <w:r w:rsidRPr="006A25B7">
          <w:rPr>
            <w:rStyle w:val="Hyperlink"/>
            <w:rFonts w:ascii="Book Antiqua" w:hAnsi="Book Antiqua" w:cs="Courier New"/>
            <w:sz w:val="22"/>
            <w:szCs w:val="22"/>
            <w:u w:val="none"/>
            <w:lang w:val="en-US"/>
          </w:rPr>
          <w:t>Hidayati &amp; Suriansyah, 2022</w:t>
        </w:r>
      </w:hyperlink>
      <w:r w:rsidRPr="006A25B7">
        <w:rPr>
          <w:rFonts w:ascii="Book Antiqua" w:hAnsi="Book Antiqua" w:cs="Courier New"/>
          <w:sz w:val="22"/>
          <w:szCs w:val="22"/>
          <w:lang w:val="en-US"/>
        </w:rPr>
        <w:t xml:space="preserve">; </w:t>
      </w:r>
      <w:hyperlink w:anchor="Suriansyah23" w:history="1">
        <w:r w:rsidRPr="006A25B7">
          <w:rPr>
            <w:rStyle w:val="Hyperlink"/>
            <w:rFonts w:ascii="Book Antiqua" w:hAnsi="Book Antiqua" w:cs="Courier New"/>
            <w:sz w:val="22"/>
            <w:szCs w:val="22"/>
            <w:u w:val="none"/>
            <w:lang w:val="en-US"/>
          </w:rPr>
          <w:t>Suriansyah &amp; Abidin, 2023</w:t>
        </w:r>
      </w:hyperlink>
      <w:r w:rsidRPr="006A25B7">
        <w:rPr>
          <w:rFonts w:ascii="Book Antiqua" w:hAnsi="Book Antiqua" w:cs="Courier New"/>
          <w:sz w:val="22"/>
          <w:szCs w:val="22"/>
          <w:lang w:val="en-US"/>
        </w:rPr>
        <w:t>). Educator involvement emerges as a critical factor in sustaining PKBM programs, with active participation at PKBM Merah Putih fostering innovation, while more limited involvement at PKBM Azka Bamega highlights risks of hierarchical structures (</w:t>
      </w:r>
      <w:hyperlink w:anchor="Ar" w:history="1">
        <w:r w:rsidRPr="006A25B7">
          <w:rPr>
            <w:rStyle w:val="Hyperlink"/>
            <w:rFonts w:ascii="Book Antiqua" w:hAnsi="Book Antiqua" w:cs="Courier New"/>
            <w:sz w:val="22"/>
            <w:szCs w:val="22"/>
            <w:u w:val="none"/>
            <w:lang w:val="en-US"/>
          </w:rPr>
          <w:t>Ar &amp; Yaqien, 2024</w:t>
        </w:r>
      </w:hyperlink>
      <w:r w:rsidRPr="006A25B7">
        <w:rPr>
          <w:rFonts w:ascii="Book Antiqua" w:hAnsi="Book Antiqua" w:cs="Courier New"/>
          <w:sz w:val="22"/>
          <w:szCs w:val="22"/>
          <w:lang w:val="en-US"/>
        </w:rPr>
        <w:t xml:space="preserve">; </w:t>
      </w:r>
      <w:hyperlink w:anchor="Celia" w:history="1">
        <w:r w:rsidRPr="006A25B7">
          <w:rPr>
            <w:rStyle w:val="Hyperlink"/>
            <w:rFonts w:ascii="Book Antiqua" w:hAnsi="Book Antiqua" w:cs="Courier New"/>
            <w:sz w:val="22"/>
            <w:szCs w:val="22"/>
            <w:u w:val="none"/>
            <w:lang w:val="en-US"/>
          </w:rPr>
          <w:t>Celia &amp; Aslamiah, 2024</w:t>
        </w:r>
      </w:hyperlink>
      <w:r w:rsidRPr="006A25B7">
        <w:rPr>
          <w:rFonts w:ascii="Book Antiqua" w:hAnsi="Book Antiqua" w:cs="Courier New"/>
          <w:sz w:val="22"/>
          <w:szCs w:val="22"/>
          <w:lang w:val="en-US"/>
        </w:rPr>
        <w:t xml:space="preserve">; </w:t>
      </w:r>
      <w:hyperlink w:anchor="Sulaxono" w:history="1">
        <w:r w:rsidRPr="006A25B7">
          <w:rPr>
            <w:rStyle w:val="Hyperlink"/>
            <w:rFonts w:ascii="Book Antiqua" w:hAnsi="Book Antiqua" w:cs="Courier New"/>
            <w:sz w:val="22"/>
            <w:szCs w:val="22"/>
            <w:u w:val="none"/>
            <w:lang w:val="en-US"/>
          </w:rPr>
          <w:t>Sulaxono et al., 2020</w:t>
        </w:r>
      </w:hyperlink>
      <w:r w:rsidRPr="006A25B7">
        <w:rPr>
          <w:rFonts w:ascii="Book Antiqua" w:hAnsi="Book Antiqua" w:cs="Courier New"/>
          <w:sz w:val="22"/>
          <w:szCs w:val="22"/>
          <w:lang w:val="en-US"/>
        </w:rPr>
        <w:t xml:space="preserve">; </w:t>
      </w:r>
      <w:hyperlink w:anchor="Suriansyah" w:history="1">
        <w:r w:rsidRPr="006A25B7">
          <w:rPr>
            <w:rStyle w:val="Hyperlink"/>
            <w:rFonts w:ascii="Book Antiqua" w:hAnsi="Book Antiqua" w:cs="Courier New"/>
            <w:sz w:val="22"/>
            <w:szCs w:val="22"/>
            <w:u w:val="none"/>
            <w:lang w:val="en-US"/>
          </w:rPr>
          <w:t>Suriansyah, 2017</w:t>
        </w:r>
      </w:hyperlink>
      <w:r w:rsidRPr="006A25B7">
        <w:rPr>
          <w:rFonts w:ascii="Book Antiqua" w:hAnsi="Book Antiqua" w:cs="Courier New"/>
          <w:sz w:val="22"/>
          <w:szCs w:val="22"/>
          <w:lang w:val="en-US"/>
        </w:rPr>
        <w:t>). Communication strategies further illustrate this dynamic, as PKBM Merah Putih emphasizes dialogical communication to build transparency and collaboration, whereas PKBM Azka Bamega relies on directive communication to strengthen coordination and external partnerships (</w:t>
      </w:r>
      <w:hyperlink w:anchor="Amelia" w:history="1">
        <w:r w:rsidRPr="006A25B7">
          <w:rPr>
            <w:rStyle w:val="Hyperlink"/>
            <w:rFonts w:ascii="Book Antiqua" w:hAnsi="Book Antiqua" w:cs="Courier New"/>
            <w:sz w:val="22"/>
            <w:szCs w:val="22"/>
            <w:u w:val="none"/>
            <w:lang w:val="en-US"/>
          </w:rPr>
          <w:t>Amelia &amp; Suriansyah, 2019</w:t>
        </w:r>
      </w:hyperlink>
      <w:r w:rsidRPr="006A25B7">
        <w:rPr>
          <w:rFonts w:ascii="Book Antiqua" w:hAnsi="Book Antiqua" w:cs="Courier New"/>
          <w:sz w:val="22"/>
          <w:szCs w:val="22"/>
          <w:lang w:val="en-US"/>
        </w:rPr>
        <w:t xml:space="preserve">; </w:t>
      </w:r>
      <w:hyperlink w:anchor="Regassa" w:history="1">
        <w:r w:rsidRPr="006A25B7">
          <w:rPr>
            <w:rStyle w:val="Hyperlink"/>
            <w:rFonts w:ascii="Book Antiqua" w:hAnsi="Book Antiqua" w:cs="Courier New"/>
            <w:sz w:val="22"/>
            <w:szCs w:val="22"/>
            <w:u w:val="none"/>
            <w:lang w:val="en-US"/>
          </w:rPr>
          <w:t>Regassa &amp; Mamo, 2024</w:t>
        </w:r>
      </w:hyperlink>
      <w:r w:rsidRPr="006A25B7">
        <w:rPr>
          <w:rFonts w:ascii="Book Antiqua" w:hAnsi="Book Antiqua" w:cs="Courier New"/>
          <w:sz w:val="22"/>
          <w:szCs w:val="22"/>
          <w:lang w:val="en-US"/>
        </w:rPr>
        <w:t xml:space="preserve">). </w:t>
      </w:r>
    </w:p>
    <w:p w14:paraId="6F470EE6" w14:textId="4BAFFB2F" w:rsidR="00EB5C96" w:rsidRPr="006A25B7" w:rsidRDefault="000A1966" w:rsidP="00F55D37">
      <w:pPr>
        <w:spacing w:line="276" w:lineRule="auto"/>
        <w:ind w:firstLine="720"/>
        <w:jc w:val="both"/>
        <w:rPr>
          <w:rFonts w:ascii="Book Antiqua" w:hAnsi="Book Antiqua" w:cs="Courier New"/>
          <w:sz w:val="22"/>
          <w:szCs w:val="22"/>
          <w:lang w:val="en-US"/>
        </w:rPr>
      </w:pPr>
      <w:r w:rsidRPr="006A25B7">
        <w:rPr>
          <w:rFonts w:ascii="Book Antiqua" w:hAnsi="Book Antiqua" w:cs="Courier New"/>
          <w:sz w:val="22"/>
          <w:szCs w:val="22"/>
          <w:lang w:val="en-US"/>
        </w:rPr>
        <w:t>The cross-site synthesis reveals that effective PKBM leadership requires balancing participatory internal collaboration with directive external coordination. Participatory strategies enhance motivation, innovation, and trust, while directive strategies support efficiency and institutional stability, reflecting an integration of transformational leadership, which emphasizes vision and empowerment (</w:t>
      </w:r>
      <w:hyperlink w:anchor="Duran" w:history="1">
        <w:r w:rsidRPr="006A25B7">
          <w:rPr>
            <w:rStyle w:val="Hyperlink"/>
            <w:rFonts w:ascii="Book Antiqua" w:hAnsi="Book Antiqua" w:cs="Courier New"/>
            <w:sz w:val="22"/>
            <w:szCs w:val="22"/>
            <w:u w:val="none"/>
            <w:lang w:val="en-US"/>
          </w:rPr>
          <w:t>Duran &amp; Cemaloğlu, 2024</w:t>
        </w:r>
      </w:hyperlink>
      <w:r w:rsidRPr="006A25B7">
        <w:rPr>
          <w:rFonts w:ascii="Book Antiqua" w:hAnsi="Book Antiqua" w:cs="Courier New"/>
          <w:sz w:val="22"/>
          <w:szCs w:val="22"/>
          <w:lang w:val="en-US"/>
        </w:rPr>
        <w:t xml:space="preserve">; </w:t>
      </w:r>
      <w:hyperlink w:anchor="Thohirin" w:history="1">
        <w:r w:rsidRPr="006A25B7">
          <w:rPr>
            <w:rStyle w:val="Hyperlink"/>
            <w:rFonts w:ascii="Book Antiqua" w:hAnsi="Book Antiqua" w:cs="Courier New"/>
            <w:sz w:val="22"/>
            <w:szCs w:val="22"/>
            <w:u w:val="none"/>
            <w:lang w:val="en-US"/>
          </w:rPr>
          <w:t>Thohirin et al., 2024</w:t>
        </w:r>
      </w:hyperlink>
      <w:r w:rsidRPr="006A25B7">
        <w:rPr>
          <w:rFonts w:ascii="Book Antiqua" w:hAnsi="Book Antiqua" w:cs="Courier New"/>
          <w:sz w:val="22"/>
          <w:szCs w:val="22"/>
          <w:lang w:val="en-US"/>
        </w:rPr>
        <w:t>), and situational leadership, which adapts to contextual realities (</w:t>
      </w:r>
      <w:hyperlink w:anchor="Mercetic" w:history="1">
        <w:r w:rsidRPr="006A25B7">
          <w:rPr>
            <w:rStyle w:val="Hyperlink"/>
            <w:rFonts w:ascii="Book Antiqua" w:hAnsi="Book Antiqua" w:cs="Courier New"/>
            <w:sz w:val="22"/>
            <w:szCs w:val="22"/>
            <w:u w:val="none"/>
            <w:lang w:val="en-US"/>
          </w:rPr>
          <w:t>Mercetic &amp; Vukotic, 2020</w:t>
        </w:r>
      </w:hyperlink>
      <w:r w:rsidRPr="006A25B7">
        <w:rPr>
          <w:rFonts w:ascii="Book Antiqua" w:hAnsi="Book Antiqua" w:cs="Courier New"/>
          <w:sz w:val="22"/>
          <w:szCs w:val="22"/>
          <w:lang w:val="en-US"/>
        </w:rPr>
        <w:t xml:space="preserve">; </w:t>
      </w:r>
      <w:hyperlink w:anchor="Nuhiya" w:history="1">
        <w:r w:rsidRPr="006A25B7">
          <w:rPr>
            <w:rStyle w:val="Hyperlink"/>
            <w:rFonts w:ascii="Book Antiqua" w:hAnsi="Book Antiqua" w:cs="Courier New"/>
            <w:sz w:val="22"/>
            <w:szCs w:val="22"/>
            <w:u w:val="none"/>
            <w:lang w:val="en-US"/>
          </w:rPr>
          <w:t>Nuhiya et al., 2024</w:t>
        </w:r>
      </w:hyperlink>
      <w:r w:rsidRPr="006A25B7">
        <w:rPr>
          <w:rFonts w:ascii="Book Antiqua" w:hAnsi="Book Antiqua" w:cs="Courier New"/>
          <w:sz w:val="22"/>
          <w:szCs w:val="22"/>
          <w:lang w:val="en-US"/>
        </w:rPr>
        <w:t xml:space="preserve">; </w:t>
      </w:r>
      <w:hyperlink w:anchor="Zukhruf" w:history="1">
        <w:r w:rsidRPr="006A25B7">
          <w:rPr>
            <w:rStyle w:val="Hyperlink"/>
            <w:rFonts w:ascii="Book Antiqua" w:hAnsi="Book Antiqua" w:cs="Courier New"/>
            <w:sz w:val="22"/>
            <w:szCs w:val="22"/>
            <w:u w:val="none"/>
            <w:lang w:val="en-US"/>
          </w:rPr>
          <w:t>Zukhruf &amp; Azani, 2023</w:t>
        </w:r>
      </w:hyperlink>
      <w:r w:rsidRPr="006A25B7">
        <w:rPr>
          <w:rFonts w:ascii="Book Antiqua" w:hAnsi="Book Antiqua" w:cs="Courier New"/>
          <w:sz w:val="22"/>
          <w:szCs w:val="22"/>
          <w:lang w:val="en-US"/>
        </w:rPr>
        <w:t>). These findings are supported by international studies highlighting adaptability, resilience, and communication as key factors in sustaining educational institutions (</w:t>
      </w:r>
      <w:hyperlink w:anchor="Regassa" w:history="1">
        <w:r w:rsidRPr="006A25B7">
          <w:rPr>
            <w:rStyle w:val="Hyperlink"/>
            <w:rFonts w:ascii="Book Antiqua" w:hAnsi="Book Antiqua" w:cs="Courier New"/>
            <w:sz w:val="22"/>
            <w:szCs w:val="22"/>
            <w:u w:val="none"/>
            <w:lang w:val="en-US"/>
          </w:rPr>
          <w:t>Regassa &amp; Mamo, 2024</w:t>
        </w:r>
      </w:hyperlink>
      <w:r w:rsidRPr="006A25B7">
        <w:rPr>
          <w:rFonts w:ascii="Book Antiqua" w:hAnsi="Book Antiqua" w:cs="Courier New"/>
          <w:sz w:val="22"/>
          <w:szCs w:val="22"/>
          <w:lang w:val="en-US"/>
        </w:rPr>
        <w:t xml:space="preserve">; </w:t>
      </w:r>
      <w:hyperlink w:anchor="Katsikas" w:history="1">
        <w:r w:rsidRPr="006A25B7">
          <w:rPr>
            <w:rStyle w:val="Hyperlink"/>
            <w:rFonts w:ascii="Book Antiqua" w:hAnsi="Book Antiqua" w:cs="Courier New"/>
            <w:sz w:val="22"/>
            <w:szCs w:val="22"/>
            <w:u w:val="none"/>
            <w:lang w:val="en-US"/>
          </w:rPr>
          <w:t>Katsikas, 2025</w:t>
        </w:r>
      </w:hyperlink>
      <w:r w:rsidRPr="006A25B7">
        <w:rPr>
          <w:rFonts w:ascii="Book Antiqua" w:hAnsi="Book Antiqua" w:cs="Courier New"/>
          <w:sz w:val="22"/>
          <w:szCs w:val="22"/>
          <w:lang w:val="en-US"/>
        </w:rPr>
        <w:t xml:space="preserve">; </w:t>
      </w:r>
      <w:hyperlink w:anchor="Ugli" w:history="1">
        <w:r w:rsidRPr="006A25B7">
          <w:rPr>
            <w:rStyle w:val="Hyperlink"/>
            <w:rFonts w:ascii="Book Antiqua" w:hAnsi="Book Antiqua" w:cs="Courier New"/>
            <w:sz w:val="22"/>
            <w:szCs w:val="22"/>
            <w:u w:val="none"/>
            <w:lang w:val="en-US"/>
          </w:rPr>
          <w:t>Ugli et al., 2025</w:t>
        </w:r>
      </w:hyperlink>
      <w:r w:rsidRPr="006A25B7">
        <w:rPr>
          <w:rFonts w:ascii="Book Antiqua" w:hAnsi="Book Antiqua" w:cs="Courier New"/>
          <w:sz w:val="22"/>
          <w:szCs w:val="22"/>
          <w:lang w:val="en-US"/>
        </w:rPr>
        <w:t>). Overall, this study demonstrates that leadership strategies, educator involvement, and communication practices are interdependent in ensuring PKBM sustainability, and proposes an adaptive, contextual, and integrative leadership approach as essential for strengthening non-formal education governance.</w:t>
      </w:r>
    </w:p>
    <w:p w14:paraId="286C0378" w14:textId="77777777" w:rsidR="00831EE7" w:rsidRDefault="00831EE7" w:rsidP="00F55D37">
      <w:pPr>
        <w:spacing w:line="276" w:lineRule="auto"/>
        <w:ind w:firstLine="851"/>
        <w:jc w:val="both"/>
        <w:rPr>
          <w:rFonts w:ascii="Book Antiqua" w:hAnsi="Book Antiqua" w:cs="Courier New"/>
          <w:sz w:val="22"/>
          <w:szCs w:val="22"/>
        </w:rPr>
      </w:pPr>
    </w:p>
    <w:p w14:paraId="0A4BA86D" w14:textId="77777777" w:rsidR="00820353" w:rsidRDefault="00820353" w:rsidP="00F55D37">
      <w:pPr>
        <w:spacing w:line="276" w:lineRule="auto"/>
        <w:ind w:firstLine="851"/>
        <w:jc w:val="both"/>
        <w:rPr>
          <w:rFonts w:ascii="Book Antiqua" w:hAnsi="Book Antiqua" w:cs="Courier New"/>
          <w:sz w:val="22"/>
          <w:szCs w:val="22"/>
        </w:rPr>
      </w:pPr>
    </w:p>
    <w:p w14:paraId="0AC8A9F1" w14:textId="77777777" w:rsidR="00820353" w:rsidRPr="006A25B7" w:rsidRDefault="00820353" w:rsidP="00F55D37">
      <w:pPr>
        <w:spacing w:line="276" w:lineRule="auto"/>
        <w:ind w:firstLine="851"/>
        <w:jc w:val="both"/>
        <w:rPr>
          <w:rFonts w:ascii="Book Antiqua" w:hAnsi="Book Antiqua" w:cs="Courier New"/>
          <w:sz w:val="22"/>
          <w:szCs w:val="22"/>
        </w:rPr>
      </w:pPr>
    </w:p>
    <w:p w14:paraId="30F1F236" w14:textId="776F60C1" w:rsidR="00D4295E" w:rsidRPr="006A25B7" w:rsidRDefault="00836049" w:rsidP="00DC3CAE">
      <w:pPr>
        <w:pStyle w:val="ListParagraph"/>
        <w:shd w:val="clear" w:color="auto" w:fill="FFFFFF"/>
        <w:spacing w:after="0" w:line="360" w:lineRule="auto"/>
        <w:ind w:left="0"/>
        <w:jc w:val="both"/>
        <w:rPr>
          <w:rFonts w:ascii="Book Antiqua" w:hAnsi="Book Antiqua" w:cs="Times New Roman"/>
          <w:b/>
          <w:sz w:val="24"/>
          <w:szCs w:val="24"/>
          <w:lang w:val="en-US"/>
        </w:rPr>
      </w:pPr>
      <w:r w:rsidRPr="006A25B7">
        <w:rPr>
          <w:rFonts w:ascii="Book Antiqua" w:hAnsi="Book Antiqua" w:cs="Times New Roman"/>
          <w:b/>
          <w:sz w:val="24"/>
          <w:szCs w:val="24"/>
          <w:lang w:val="en-US"/>
        </w:rPr>
        <w:lastRenderedPageBreak/>
        <w:t>E. Implication</w:t>
      </w:r>
    </w:p>
    <w:p w14:paraId="592F83DC" w14:textId="1D47A9EA" w:rsidR="00085686" w:rsidRPr="006A25B7" w:rsidRDefault="00D4295E" w:rsidP="00DC3CAE">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The findings of this study contribute significantly to educational administration, particularly in non-formal education leadership and community partnership management, through theoretical, practical, and policy implications. Theoretically, the study reinforces that PKBM leadership must integrate managerial, social, and cultural dimensions, showing that participatory leadership with strong educator involvement and centralized leadership with strong external partnerships are complementary and context-dependent. The proposed Adaptive PKBM Leadership Model extends transformational and situational leadership theories by demonstrating how vision, empowerment, and contextual adaptation operate in non-formal education settings, aligning with global perspectives on adaptability and resilience. Practically, the study highlights that educator involvement must encompass planning, reflection, and community engagement, encouraging PKBM leaders to empower tutors, foster innovation through simple technologies, and balance dialogical and directive communication. From a policy perspective, the findings emphasize the importance of adaptive communication, participatory leadership training, and hybrid leadership models in strengthening PKBM governance. Overall, the study underscores that sustainable PKBM management depends on the integrated synergy of leadership, educator involvement, and communication strategies across diverse contexts.</w:t>
      </w:r>
    </w:p>
    <w:p w14:paraId="247DBE97" w14:textId="77777777" w:rsidR="00D4295E" w:rsidRPr="006A25B7" w:rsidRDefault="00D4295E" w:rsidP="00820353">
      <w:pPr>
        <w:jc w:val="both"/>
        <w:rPr>
          <w:rFonts w:ascii="Book Antiqua" w:hAnsi="Book Antiqua" w:cs="Courier New"/>
          <w:sz w:val="22"/>
          <w:szCs w:val="22"/>
          <w:lang w:val="en-US"/>
        </w:rPr>
      </w:pPr>
    </w:p>
    <w:p w14:paraId="070567E6" w14:textId="76C96779" w:rsidR="00D4295E" w:rsidRPr="006A25B7" w:rsidRDefault="00836049" w:rsidP="00DC3CAE">
      <w:pPr>
        <w:pStyle w:val="ListParagraph"/>
        <w:shd w:val="clear" w:color="auto" w:fill="FFFFFF"/>
        <w:spacing w:after="0" w:line="360" w:lineRule="auto"/>
        <w:ind w:left="0"/>
        <w:jc w:val="both"/>
        <w:rPr>
          <w:rFonts w:ascii="Book Antiqua" w:hAnsi="Book Antiqua" w:cs="Times New Roman"/>
          <w:b/>
          <w:sz w:val="24"/>
          <w:szCs w:val="24"/>
          <w:lang w:val="en-US"/>
        </w:rPr>
      </w:pPr>
      <w:r w:rsidRPr="006A25B7">
        <w:rPr>
          <w:rFonts w:ascii="Book Antiqua" w:hAnsi="Book Antiqua" w:cs="Times New Roman"/>
          <w:b/>
          <w:sz w:val="24"/>
          <w:szCs w:val="24"/>
          <w:lang w:val="en-US"/>
        </w:rPr>
        <w:t>F. Limitation and Suggestion for Further Research</w:t>
      </w:r>
    </w:p>
    <w:p w14:paraId="45892A1A" w14:textId="77777777" w:rsidR="000A1966" w:rsidRPr="006A25B7" w:rsidRDefault="000A1966" w:rsidP="00F55D37">
      <w:pPr>
        <w:spacing w:line="276" w:lineRule="auto"/>
        <w:ind w:firstLine="720"/>
        <w:jc w:val="both"/>
        <w:rPr>
          <w:rFonts w:ascii="Book Antiqua" w:hAnsi="Book Antiqua" w:cs="Courier New"/>
          <w:sz w:val="22"/>
          <w:szCs w:val="22"/>
          <w:lang w:val="en-US"/>
        </w:rPr>
      </w:pPr>
      <w:r w:rsidRPr="006A25B7">
        <w:rPr>
          <w:rFonts w:ascii="Book Antiqua" w:hAnsi="Book Antiqua" w:cs="Courier New"/>
          <w:sz w:val="22"/>
          <w:szCs w:val="22"/>
          <w:lang w:val="en-US"/>
        </w:rPr>
        <w:t>Despite its contributions, this study has several limitations that must be acknowledged. First, the research design was qualitative and limited to two PKBM sites, which restricts the generalizability of the findings to broader contexts. Although the multi-site approach provided in-depth insights, the scope remains geographically and institutionally narrow, making the conclusions context-bound to Kotabaru’s socio-cultural setting. Second, data collection relied heavily on interviews, observations, and documentation, which may be subject to researcher bias and participant subjectivity. In particular, responses from PKBM heads and tutors may have been influenced by social desirability bias, where participants present themselves or their institutions more positively than reality. Although triangulation was applied to enhance credibility, the absence of quantitative measures limits statistical validation.</w:t>
      </w:r>
    </w:p>
    <w:p w14:paraId="3A2103AF" w14:textId="77777777" w:rsidR="000A1966" w:rsidRPr="006A25B7" w:rsidRDefault="000A1966" w:rsidP="00F55D37">
      <w:pPr>
        <w:spacing w:line="276" w:lineRule="auto"/>
        <w:ind w:firstLine="720"/>
        <w:jc w:val="both"/>
        <w:rPr>
          <w:rFonts w:ascii="Book Antiqua" w:hAnsi="Book Antiqua" w:cs="Courier New"/>
          <w:sz w:val="22"/>
          <w:szCs w:val="22"/>
          <w:lang w:val="en-US"/>
        </w:rPr>
      </w:pPr>
      <w:r w:rsidRPr="006A25B7">
        <w:rPr>
          <w:rFonts w:ascii="Book Antiqua" w:hAnsi="Book Antiqua" w:cs="Courier New"/>
          <w:sz w:val="22"/>
          <w:szCs w:val="22"/>
          <w:lang w:val="en-US"/>
        </w:rPr>
        <w:t>Furthermore, this study primarily focused on leadership strategies, educator involvement, and communication practices, without exploring other important dimensions such as large-scale parental involvement, digital learning integration, or long-term learner outcomes. These limitations suggest the need for broader and more comprehensive investigations. Future research is recommended to involve more diverse PKBM contexts across regions, apply mixed-method approaches to strengthen validity, and examine additional variables that may influence the sustainability and effectiveness of non-formal education.</w:t>
      </w:r>
    </w:p>
    <w:p w14:paraId="4F687AF0" w14:textId="77777777" w:rsidR="00FB52AB" w:rsidRDefault="00FB52AB" w:rsidP="00820353">
      <w:pPr>
        <w:jc w:val="both"/>
        <w:rPr>
          <w:rFonts w:ascii="Book Antiqua" w:hAnsi="Book Antiqua"/>
          <w:sz w:val="22"/>
          <w:szCs w:val="22"/>
        </w:rPr>
      </w:pPr>
    </w:p>
    <w:p w14:paraId="6F85EC2D" w14:textId="77777777" w:rsidR="00820353" w:rsidRPr="006A25B7" w:rsidRDefault="00820353" w:rsidP="00820353">
      <w:pPr>
        <w:jc w:val="both"/>
        <w:rPr>
          <w:rFonts w:ascii="Book Antiqua" w:hAnsi="Book Antiqua"/>
          <w:sz w:val="22"/>
          <w:szCs w:val="22"/>
        </w:rPr>
      </w:pPr>
    </w:p>
    <w:p w14:paraId="19616481" w14:textId="68AE10E4" w:rsidR="00124EB7" w:rsidRPr="006A25B7" w:rsidRDefault="00836049" w:rsidP="00DC3CAE">
      <w:pPr>
        <w:pStyle w:val="ListParagraph"/>
        <w:shd w:val="clear" w:color="auto" w:fill="FFFFFF"/>
        <w:spacing w:after="0" w:line="360" w:lineRule="auto"/>
        <w:ind w:left="0"/>
        <w:jc w:val="both"/>
        <w:rPr>
          <w:rFonts w:ascii="Book Antiqua" w:hAnsi="Book Antiqua" w:cs="Times New Roman"/>
          <w:b/>
          <w:sz w:val="24"/>
          <w:szCs w:val="24"/>
          <w:lang w:val="en-US"/>
        </w:rPr>
      </w:pPr>
      <w:r w:rsidRPr="006A25B7">
        <w:rPr>
          <w:rFonts w:ascii="Book Antiqua" w:hAnsi="Book Antiqua" w:cs="Times New Roman"/>
          <w:b/>
          <w:sz w:val="24"/>
          <w:szCs w:val="24"/>
          <w:lang w:val="en-US"/>
        </w:rPr>
        <w:lastRenderedPageBreak/>
        <w:t>G. Conclusion</w:t>
      </w:r>
    </w:p>
    <w:p w14:paraId="08CC436D" w14:textId="70318A0C" w:rsidR="006D3BE4" w:rsidRPr="00F55D37" w:rsidRDefault="000A1966" w:rsidP="00F55D37">
      <w:pPr>
        <w:spacing w:line="276" w:lineRule="auto"/>
        <w:ind w:firstLine="720"/>
        <w:jc w:val="both"/>
        <w:rPr>
          <w:rFonts w:ascii="Book Antiqua" w:hAnsi="Book Antiqua" w:cs="Courier New"/>
          <w:sz w:val="22"/>
          <w:szCs w:val="22"/>
        </w:rPr>
      </w:pPr>
      <w:r w:rsidRPr="006A25B7">
        <w:rPr>
          <w:rFonts w:ascii="Book Antiqua" w:hAnsi="Book Antiqua" w:cs="Courier New"/>
          <w:sz w:val="22"/>
          <w:szCs w:val="22"/>
        </w:rPr>
        <w:t>This study examines leadership strategies of PKBM heads in building community partnerships, educator involvement in sustaining program quality, and communication practices aligning governance with community needs. The findings reveal that PKBM leadership is contextually adaptive, with participatory collaboration at PKBM Merah Putih and centralized, partnership-oriented leadership at PKBM Azka Bamega, both converging toward sustainable and inclusive community-based learning. Educator involvement emerges as a critical factor in enhancing responsiveness and innovation, while communication strategies play a key role in fostering trust, where dialogical approaches support inclusivity and directi</w:t>
      </w:r>
      <w:r w:rsidRPr="00F55D37">
        <w:rPr>
          <w:rFonts w:ascii="Book Antiqua" w:hAnsi="Book Antiqua" w:cs="Courier New"/>
          <w:sz w:val="22"/>
          <w:szCs w:val="22"/>
        </w:rPr>
        <w:t>ve approaches ensure efficiency. Overall, PKBM effectiveness depends on the synergy of leadership, educator engagement, and communication practices. This study proposes an Adaptive Integrative Leadership Framework that bridges transformational and situational leadership, offering both theoretical contribution and practical guidance for strengthening non-formal education governance in diverse contexts.</w:t>
      </w:r>
    </w:p>
    <w:p w14:paraId="761472B8" w14:textId="77777777" w:rsidR="006D3BE4" w:rsidRPr="00F55D37" w:rsidRDefault="006D3BE4" w:rsidP="00820353">
      <w:pPr>
        <w:ind w:firstLine="720"/>
        <w:jc w:val="both"/>
        <w:rPr>
          <w:rFonts w:ascii="Book Antiqua" w:hAnsi="Book Antiqua" w:cs="Courier New"/>
          <w:sz w:val="22"/>
          <w:szCs w:val="22"/>
        </w:rPr>
      </w:pPr>
    </w:p>
    <w:p w14:paraId="69F6C6A0" w14:textId="0CE9A7BD" w:rsidR="00124EB7" w:rsidRPr="00DC3CAE" w:rsidRDefault="00FB52AB" w:rsidP="00DC3CAE">
      <w:pPr>
        <w:pStyle w:val="ListParagraph"/>
        <w:shd w:val="clear" w:color="auto" w:fill="FFFFFF"/>
        <w:spacing w:after="0" w:line="360" w:lineRule="auto"/>
        <w:ind w:left="0"/>
        <w:jc w:val="both"/>
        <w:rPr>
          <w:rFonts w:ascii="Book Antiqua" w:hAnsi="Book Antiqua" w:cs="Times New Roman"/>
          <w:b/>
          <w:bCs/>
          <w:sz w:val="24"/>
          <w:szCs w:val="24"/>
        </w:rPr>
      </w:pPr>
      <w:r w:rsidRPr="00DC3CAE">
        <w:rPr>
          <w:rFonts w:ascii="Book Antiqua" w:hAnsi="Book Antiqua" w:cs="Times New Roman"/>
          <w:b/>
          <w:bCs/>
          <w:sz w:val="24"/>
          <w:szCs w:val="24"/>
        </w:rPr>
        <w:t>References</w:t>
      </w:r>
    </w:p>
    <w:p w14:paraId="3A981A5B" w14:textId="77777777" w:rsidR="005A2266" w:rsidRPr="005A2266" w:rsidRDefault="005A2266" w:rsidP="005A2266">
      <w:pPr>
        <w:spacing w:after="240"/>
        <w:ind w:left="709" w:hanging="709"/>
        <w:jc w:val="both"/>
        <w:rPr>
          <w:rFonts w:ascii="Book Antiqua" w:hAnsi="Book Antiqua"/>
          <w:sz w:val="22"/>
          <w:szCs w:val="22"/>
          <w:lang w:val="en-ID"/>
        </w:rPr>
      </w:pPr>
      <w:bookmarkStart w:id="1" w:name="Amelia"/>
      <w:r w:rsidRPr="005A2266">
        <w:rPr>
          <w:rFonts w:ascii="Book Antiqua" w:hAnsi="Book Antiqua"/>
          <w:sz w:val="22"/>
          <w:szCs w:val="22"/>
          <w:lang w:val="en-ID"/>
        </w:rPr>
        <w:t>Amelia</w:t>
      </w:r>
      <w:bookmarkEnd w:id="1"/>
      <w:r w:rsidRPr="005A2266">
        <w:rPr>
          <w:rFonts w:ascii="Book Antiqua" w:hAnsi="Book Antiqua"/>
          <w:sz w:val="22"/>
          <w:szCs w:val="22"/>
          <w:lang w:val="en-ID"/>
        </w:rPr>
        <w:t xml:space="preserve">, R., &amp; Suriansyah, A. (2019). The New Paradigm of Leadership at Elementary Schools in Borneo in the Industrial Revolution 4.0 Era. </w:t>
      </w:r>
      <w:r w:rsidRPr="005A2266">
        <w:rPr>
          <w:rFonts w:ascii="Book Antiqua" w:hAnsi="Book Antiqua"/>
          <w:i/>
          <w:iCs/>
          <w:sz w:val="22"/>
          <w:szCs w:val="22"/>
          <w:lang w:val="en-ID"/>
        </w:rPr>
        <w:t>International Journal of Innovation, Creativity and Change</w:t>
      </w:r>
      <w:r w:rsidRPr="005A2266">
        <w:rPr>
          <w:rFonts w:ascii="Book Antiqua" w:hAnsi="Book Antiqua"/>
          <w:sz w:val="22"/>
          <w:szCs w:val="22"/>
          <w:lang w:val="en-ID"/>
        </w:rPr>
        <w:t xml:space="preserve">, </w:t>
      </w:r>
      <w:r w:rsidRPr="005A2266">
        <w:rPr>
          <w:rFonts w:ascii="Book Antiqua" w:hAnsi="Book Antiqua"/>
          <w:i/>
          <w:iCs/>
          <w:sz w:val="22"/>
          <w:szCs w:val="22"/>
          <w:lang w:val="en-ID"/>
        </w:rPr>
        <w:t>5</w:t>
      </w:r>
      <w:r w:rsidRPr="005A2266">
        <w:rPr>
          <w:rFonts w:ascii="Book Antiqua" w:hAnsi="Book Antiqua"/>
          <w:sz w:val="22"/>
          <w:szCs w:val="22"/>
          <w:lang w:val="en-ID"/>
        </w:rPr>
        <w:t>(5), 159–173.</w:t>
      </w:r>
    </w:p>
    <w:p w14:paraId="7837F32A" w14:textId="77777777" w:rsidR="005A2266" w:rsidRPr="005A2266" w:rsidRDefault="005A2266" w:rsidP="005A2266">
      <w:pPr>
        <w:spacing w:after="240"/>
        <w:ind w:left="709" w:hanging="709"/>
        <w:jc w:val="both"/>
        <w:rPr>
          <w:rFonts w:ascii="Book Antiqua" w:hAnsi="Book Antiqua"/>
          <w:sz w:val="22"/>
          <w:szCs w:val="22"/>
          <w:lang w:val="en-ID"/>
        </w:rPr>
      </w:pPr>
      <w:bookmarkStart w:id="2" w:name="Ar"/>
      <w:r w:rsidRPr="005A2266">
        <w:rPr>
          <w:rFonts w:ascii="Book Antiqua" w:hAnsi="Book Antiqua"/>
          <w:sz w:val="22"/>
          <w:szCs w:val="22"/>
          <w:lang w:val="en-ID"/>
        </w:rPr>
        <w:t>Ar</w:t>
      </w:r>
      <w:bookmarkEnd w:id="2"/>
      <w:r w:rsidRPr="005A2266">
        <w:rPr>
          <w:rFonts w:ascii="Book Antiqua" w:hAnsi="Book Antiqua"/>
          <w:sz w:val="22"/>
          <w:szCs w:val="22"/>
          <w:lang w:val="en-ID"/>
        </w:rPr>
        <w:t xml:space="preserve">, A., &amp; Yaqien, N. (2024). Model Manajemen Sumber Daya Manusia dalam Peningkatan Kinerja dan Kesejahteraan Guru (Studi Kasus di SMP IT Darul Hikmah Pasaman Barat). </w:t>
      </w:r>
      <w:r w:rsidRPr="005A2266">
        <w:rPr>
          <w:rFonts w:ascii="Book Antiqua" w:hAnsi="Book Antiqua"/>
          <w:i/>
          <w:iCs/>
          <w:sz w:val="22"/>
          <w:szCs w:val="22"/>
          <w:lang w:val="en-ID"/>
        </w:rPr>
        <w:t>Ulul Amri: Jurnal Manajemen Pendidikan Islam</w:t>
      </w:r>
      <w:r w:rsidRPr="005A2266">
        <w:rPr>
          <w:rFonts w:ascii="Book Antiqua" w:hAnsi="Book Antiqua"/>
          <w:sz w:val="22"/>
          <w:szCs w:val="22"/>
          <w:lang w:val="en-ID"/>
        </w:rPr>
        <w:t xml:space="preserve">. </w:t>
      </w:r>
      <w:hyperlink r:id="rId14" w:history="1">
        <w:r w:rsidRPr="005A2266">
          <w:rPr>
            <w:rStyle w:val="Hyperlink"/>
            <w:rFonts w:ascii="Book Antiqua" w:hAnsi="Book Antiqua"/>
            <w:sz w:val="22"/>
            <w:szCs w:val="22"/>
            <w:lang w:val="en-ID"/>
          </w:rPr>
          <w:t>https://doi.org/10.18860/uajmpi.v2i3.892</w:t>
        </w:r>
      </w:hyperlink>
    </w:p>
    <w:p w14:paraId="157897DC" w14:textId="20B143A6" w:rsidR="005A2266" w:rsidRPr="005A2266" w:rsidRDefault="005A2266" w:rsidP="005A2266">
      <w:pPr>
        <w:spacing w:after="240"/>
        <w:ind w:left="709" w:hanging="709"/>
        <w:jc w:val="both"/>
        <w:rPr>
          <w:rFonts w:ascii="Book Antiqua" w:hAnsi="Book Antiqua"/>
          <w:sz w:val="22"/>
          <w:szCs w:val="22"/>
          <w:lang w:val="en-ID"/>
        </w:rPr>
      </w:pPr>
      <w:bookmarkStart w:id="3" w:name="Atieno"/>
      <w:r w:rsidRPr="005A2266">
        <w:rPr>
          <w:rFonts w:ascii="Book Antiqua" w:hAnsi="Book Antiqua"/>
          <w:sz w:val="22"/>
          <w:szCs w:val="22"/>
          <w:lang w:val="en-ID"/>
        </w:rPr>
        <w:t>Atieno</w:t>
      </w:r>
      <w:bookmarkEnd w:id="3"/>
      <w:r w:rsidRPr="005A2266">
        <w:rPr>
          <w:rFonts w:ascii="Book Antiqua" w:hAnsi="Book Antiqua"/>
          <w:sz w:val="22"/>
          <w:szCs w:val="22"/>
          <w:lang w:val="en-ID"/>
        </w:rPr>
        <w:t xml:space="preserve">, O. E. (2019). Challenges of Instructional Supervision on Professional Development of Teachers in Public Secondary Schools in Nairobi and Kajiado Counties, Kenya. </w:t>
      </w:r>
      <w:r w:rsidRPr="005A2266">
        <w:rPr>
          <w:rFonts w:ascii="Book Antiqua" w:hAnsi="Book Antiqua"/>
          <w:i/>
          <w:iCs/>
          <w:sz w:val="22"/>
          <w:szCs w:val="22"/>
          <w:lang w:val="en-ID"/>
        </w:rPr>
        <w:t>IOSR Journal of Humanities and Social Science (IOSR-JHSS)</w:t>
      </w:r>
      <w:r w:rsidRPr="005A2266">
        <w:rPr>
          <w:rFonts w:ascii="Book Antiqua" w:hAnsi="Book Antiqua"/>
          <w:sz w:val="22"/>
          <w:szCs w:val="22"/>
          <w:lang w:val="en-ID"/>
        </w:rPr>
        <w:t xml:space="preserve">, </w:t>
      </w:r>
      <w:r w:rsidRPr="005A2266">
        <w:rPr>
          <w:rFonts w:ascii="Book Antiqua" w:hAnsi="Book Antiqua"/>
          <w:i/>
          <w:iCs/>
          <w:sz w:val="22"/>
          <w:szCs w:val="22"/>
          <w:lang w:val="en-ID"/>
        </w:rPr>
        <w:t>24</w:t>
      </w:r>
      <w:r w:rsidRPr="005A2266">
        <w:rPr>
          <w:rFonts w:ascii="Book Antiqua" w:hAnsi="Book Antiqua"/>
          <w:sz w:val="22"/>
          <w:szCs w:val="22"/>
          <w:lang w:val="en-ID"/>
        </w:rPr>
        <w:t xml:space="preserve">(4). </w:t>
      </w:r>
    </w:p>
    <w:p w14:paraId="4E66814D" w14:textId="77777777" w:rsidR="005A2266" w:rsidRPr="005A2266" w:rsidRDefault="005A2266" w:rsidP="005A2266">
      <w:pPr>
        <w:spacing w:after="240"/>
        <w:ind w:left="709" w:hanging="709"/>
        <w:jc w:val="both"/>
        <w:rPr>
          <w:rFonts w:ascii="Book Antiqua" w:hAnsi="Book Antiqua"/>
          <w:sz w:val="22"/>
          <w:szCs w:val="22"/>
          <w:lang w:val="en-ID"/>
        </w:rPr>
      </w:pPr>
      <w:bookmarkStart w:id="4" w:name="Celia"/>
      <w:r w:rsidRPr="005A2266">
        <w:rPr>
          <w:rFonts w:ascii="Book Antiqua" w:hAnsi="Book Antiqua"/>
          <w:sz w:val="22"/>
          <w:szCs w:val="22"/>
          <w:lang w:val="en-ID"/>
        </w:rPr>
        <w:t>Celia</w:t>
      </w:r>
      <w:bookmarkEnd w:id="4"/>
      <w:r w:rsidRPr="005A2266">
        <w:rPr>
          <w:rFonts w:ascii="Book Antiqua" w:hAnsi="Book Antiqua"/>
          <w:sz w:val="22"/>
          <w:szCs w:val="22"/>
          <w:lang w:val="en-ID"/>
        </w:rPr>
        <w:t xml:space="preserve">, C., &amp; Aslamiah, N. (2024). The Correlation of the Work Life Quality and Organizational Commitment with Organizational Citizenship Behaviour of Kindergarten Teachers in Hulu Sungai Selatan Regency. </w:t>
      </w:r>
      <w:r w:rsidRPr="005A2266">
        <w:rPr>
          <w:rFonts w:ascii="Book Antiqua" w:hAnsi="Book Antiqua"/>
          <w:i/>
          <w:iCs/>
          <w:sz w:val="22"/>
          <w:szCs w:val="22"/>
          <w:lang w:val="en-ID"/>
        </w:rPr>
        <w:t>International Journal of Social Science and Human Research</w:t>
      </w:r>
      <w:r w:rsidRPr="005A2266">
        <w:rPr>
          <w:rFonts w:ascii="Book Antiqua" w:hAnsi="Book Antiqua"/>
          <w:sz w:val="22"/>
          <w:szCs w:val="22"/>
          <w:lang w:val="en-ID"/>
        </w:rPr>
        <w:t xml:space="preserve">, </w:t>
      </w:r>
      <w:r w:rsidRPr="005A2266">
        <w:rPr>
          <w:rFonts w:ascii="Book Antiqua" w:hAnsi="Book Antiqua"/>
          <w:i/>
          <w:iCs/>
          <w:sz w:val="22"/>
          <w:szCs w:val="22"/>
          <w:lang w:val="en-ID"/>
        </w:rPr>
        <w:t>2</w:t>
      </w:r>
      <w:r w:rsidRPr="005A2266">
        <w:rPr>
          <w:rFonts w:ascii="Book Antiqua" w:hAnsi="Book Antiqua"/>
          <w:sz w:val="22"/>
          <w:szCs w:val="22"/>
          <w:lang w:val="en-ID"/>
        </w:rPr>
        <w:t>(1), 12–18.</w:t>
      </w:r>
    </w:p>
    <w:p w14:paraId="4D7B5185" w14:textId="77777777" w:rsidR="005A2266" w:rsidRPr="005A2266" w:rsidRDefault="005A2266" w:rsidP="005A2266">
      <w:pPr>
        <w:spacing w:after="240"/>
        <w:ind w:left="709" w:hanging="709"/>
        <w:jc w:val="both"/>
        <w:rPr>
          <w:rFonts w:ascii="Book Antiqua" w:hAnsi="Book Antiqua"/>
          <w:sz w:val="22"/>
          <w:szCs w:val="22"/>
          <w:lang w:val="en-ID"/>
        </w:rPr>
      </w:pPr>
      <w:bookmarkStart w:id="5" w:name="Duran"/>
      <w:r w:rsidRPr="005A2266">
        <w:rPr>
          <w:rFonts w:ascii="Book Antiqua" w:hAnsi="Book Antiqua"/>
          <w:sz w:val="22"/>
          <w:szCs w:val="22"/>
          <w:lang w:val="en-ID"/>
        </w:rPr>
        <w:t>Duran</w:t>
      </w:r>
      <w:bookmarkEnd w:id="5"/>
      <w:r w:rsidRPr="005A2266">
        <w:rPr>
          <w:rFonts w:ascii="Book Antiqua" w:hAnsi="Book Antiqua"/>
          <w:sz w:val="22"/>
          <w:szCs w:val="22"/>
          <w:lang w:val="en-ID"/>
        </w:rPr>
        <w:t xml:space="preserve">, A., &amp; Cemaloğlu, N. (2024). Successful School Principals in Socioeconomically Disadvantaged Schools: A Grounded Theory Research from Turkish Context. </w:t>
      </w:r>
      <w:r w:rsidRPr="005A2266">
        <w:rPr>
          <w:rFonts w:ascii="Book Antiqua" w:hAnsi="Book Antiqua"/>
          <w:i/>
          <w:iCs/>
          <w:sz w:val="22"/>
          <w:szCs w:val="22"/>
          <w:lang w:val="en-ID"/>
        </w:rPr>
        <w:t>Participatory Educational Research</w:t>
      </w:r>
      <w:r w:rsidRPr="005A2266">
        <w:rPr>
          <w:rFonts w:ascii="Book Antiqua" w:hAnsi="Book Antiqua"/>
          <w:sz w:val="22"/>
          <w:szCs w:val="22"/>
          <w:lang w:val="en-ID"/>
        </w:rPr>
        <w:t xml:space="preserve">. </w:t>
      </w:r>
      <w:hyperlink r:id="rId15" w:history="1">
        <w:r w:rsidRPr="005A2266">
          <w:rPr>
            <w:rStyle w:val="Hyperlink"/>
            <w:rFonts w:ascii="Book Antiqua" w:hAnsi="Book Antiqua"/>
            <w:sz w:val="22"/>
            <w:szCs w:val="22"/>
            <w:lang w:val="en-ID"/>
          </w:rPr>
          <w:t>https://doi.org/10.17275/per.24.50.11.4</w:t>
        </w:r>
      </w:hyperlink>
    </w:p>
    <w:p w14:paraId="0EF34066" w14:textId="77777777" w:rsidR="005A2266" w:rsidRPr="005A2266" w:rsidRDefault="005A2266" w:rsidP="005A2266">
      <w:pPr>
        <w:spacing w:after="240"/>
        <w:ind w:left="709" w:hanging="709"/>
        <w:jc w:val="both"/>
        <w:rPr>
          <w:rFonts w:ascii="Book Antiqua" w:hAnsi="Book Antiqua"/>
          <w:sz w:val="22"/>
          <w:szCs w:val="22"/>
          <w:lang w:val="fi-FI"/>
        </w:rPr>
      </w:pPr>
      <w:bookmarkStart w:id="6" w:name="Elpalina"/>
      <w:r w:rsidRPr="005A2266">
        <w:rPr>
          <w:rFonts w:ascii="Book Antiqua" w:hAnsi="Book Antiqua"/>
          <w:sz w:val="22"/>
          <w:szCs w:val="22"/>
          <w:lang w:val="en-ID"/>
        </w:rPr>
        <w:t>Elpalina</w:t>
      </w:r>
      <w:bookmarkEnd w:id="6"/>
      <w:r w:rsidRPr="005A2266">
        <w:rPr>
          <w:rFonts w:ascii="Book Antiqua" w:hAnsi="Book Antiqua"/>
          <w:sz w:val="22"/>
          <w:szCs w:val="22"/>
          <w:lang w:val="en-ID"/>
        </w:rPr>
        <w:t xml:space="preserve">, S., Ambiyar, A., Agustina, A., &amp; Azis, A. (2024). </w:t>
      </w:r>
      <w:r w:rsidRPr="005A2266">
        <w:rPr>
          <w:rFonts w:ascii="Book Antiqua" w:hAnsi="Book Antiqua"/>
          <w:sz w:val="22"/>
          <w:szCs w:val="22"/>
          <w:lang w:val="it-CH"/>
        </w:rPr>
        <w:t xml:space="preserve">Implementasi Model Evaluasi Formatif-Sumatif dalam Meningkatkan Pembelajaran Seni Budaya. </w:t>
      </w:r>
      <w:r w:rsidRPr="005A2266">
        <w:rPr>
          <w:rFonts w:ascii="Book Antiqua" w:hAnsi="Book Antiqua"/>
          <w:i/>
          <w:iCs/>
          <w:sz w:val="22"/>
          <w:szCs w:val="22"/>
          <w:lang w:val="fi-FI"/>
        </w:rPr>
        <w:t>Gorga: Jurnal Seni Rupa</w:t>
      </w:r>
      <w:r w:rsidRPr="005A2266">
        <w:rPr>
          <w:rFonts w:ascii="Book Antiqua" w:hAnsi="Book Antiqua"/>
          <w:sz w:val="22"/>
          <w:szCs w:val="22"/>
          <w:lang w:val="fi-FI"/>
        </w:rPr>
        <w:t xml:space="preserve">. </w:t>
      </w:r>
      <w:hyperlink r:id="rId16" w:history="1">
        <w:r w:rsidRPr="005A2266">
          <w:rPr>
            <w:rStyle w:val="Hyperlink"/>
            <w:rFonts w:ascii="Book Antiqua" w:hAnsi="Book Antiqua"/>
            <w:sz w:val="22"/>
            <w:szCs w:val="22"/>
            <w:lang w:val="fi-FI"/>
          </w:rPr>
          <w:t>https://doi.org/10.24114/gr.v13i01.55826</w:t>
        </w:r>
      </w:hyperlink>
    </w:p>
    <w:p w14:paraId="24FA3DCE" w14:textId="77777777" w:rsidR="005A2266" w:rsidRPr="005A2266" w:rsidRDefault="005A2266" w:rsidP="005A2266">
      <w:pPr>
        <w:spacing w:after="240"/>
        <w:ind w:left="709" w:hanging="709"/>
        <w:jc w:val="both"/>
        <w:rPr>
          <w:rFonts w:ascii="Book Antiqua" w:hAnsi="Book Antiqua"/>
          <w:sz w:val="22"/>
          <w:szCs w:val="22"/>
          <w:lang w:val="en-ID"/>
        </w:rPr>
      </w:pPr>
      <w:bookmarkStart w:id="7" w:name="Hartini"/>
      <w:r w:rsidRPr="005A2266">
        <w:rPr>
          <w:rFonts w:ascii="Book Antiqua" w:hAnsi="Book Antiqua"/>
          <w:sz w:val="22"/>
          <w:szCs w:val="22"/>
          <w:lang w:val="fi-FI"/>
        </w:rPr>
        <w:t>Hartini</w:t>
      </w:r>
      <w:bookmarkEnd w:id="7"/>
      <w:r w:rsidRPr="005A2266">
        <w:rPr>
          <w:rFonts w:ascii="Book Antiqua" w:hAnsi="Book Antiqua"/>
          <w:sz w:val="22"/>
          <w:szCs w:val="22"/>
          <w:lang w:val="fi-FI"/>
        </w:rPr>
        <w:t xml:space="preserve">, H., Rahmawati, R., &amp; Asmin, E. A. (2021). Motivasi, Komitmen Organisasi, Kompetensi dan Dampaknya terhadap Kinerja Guru. </w:t>
      </w:r>
      <w:r w:rsidRPr="005A2266">
        <w:rPr>
          <w:rFonts w:ascii="Book Antiqua" w:hAnsi="Book Antiqua"/>
          <w:i/>
          <w:iCs/>
          <w:sz w:val="22"/>
          <w:szCs w:val="22"/>
          <w:lang w:val="en-ID"/>
        </w:rPr>
        <w:t>Jurnal Manajemen UIKA</w:t>
      </w:r>
      <w:r w:rsidRPr="005A2266">
        <w:rPr>
          <w:rFonts w:ascii="Book Antiqua" w:hAnsi="Book Antiqua"/>
          <w:sz w:val="22"/>
          <w:szCs w:val="22"/>
          <w:lang w:val="en-ID"/>
        </w:rPr>
        <w:t xml:space="preserve">, </w:t>
      </w:r>
      <w:r w:rsidRPr="005A2266">
        <w:rPr>
          <w:rFonts w:ascii="Book Antiqua" w:hAnsi="Book Antiqua"/>
          <w:i/>
          <w:iCs/>
          <w:sz w:val="22"/>
          <w:szCs w:val="22"/>
          <w:lang w:val="en-ID"/>
        </w:rPr>
        <w:t>12</w:t>
      </w:r>
      <w:r w:rsidRPr="005A2266">
        <w:rPr>
          <w:rFonts w:ascii="Book Antiqua" w:hAnsi="Book Antiqua"/>
          <w:sz w:val="22"/>
          <w:szCs w:val="22"/>
          <w:lang w:val="en-ID"/>
        </w:rPr>
        <w:t xml:space="preserve">(1). </w:t>
      </w:r>
      <w:hyperlink r:id="rId17" w:history="1">
        <w:r w:rsidRPr="005A2266">
          <w:rPr>
            <w:rStyle w:val="Hyperlink"/>
            <w:rFonts w:ascii="Book Antiqua" w:hAnsi="Book Antiqua"/>
            <w:sz w:val="22"/>
            <w:szCs w:val="22"/>
            <w:lang w:val="en-ID"/>
          </w:rPr>
          <w:t>https://doi.org/10.32832/JM-UIKA.V12I1.3950</w:t>
        </w:r>
      </w:hyperlink>
    </w:p>
    <w:p w14:paraId="2F21DCE2" w14:textId="77777777" w:rsidR="005A2266" w:rsidRPr="005A2266" w:rsidRDefault="005A2266" w:rsidP="005A2266">
      <w:pPr>
        <w:spacing w:after="240"/>
        <w:ind w:left="709" w:hanging="709"/>
        <w:jc w:val="both"/>
        <w:rPr>
          <w:rFonts w:ascii="Book Antiqua" w:hAnsi="Book Antiqua"/>
          <w:sz w:val="22"/>
          <w:szCs w:val="22"/>
          <w:lang w:val="en-ID"/>
        </w:rPr>
      </w:pPr>
      <w:bookmarkStart w:id="8" w:name="Hidayati"/>
      <w:r w:rsidRPr="005A2266">
        <w:rPr>
          <w:rFonts w:ascii="Book Antiqua" w:hAnsi="Book Antiqua"/>
          <w:sz w:val="22"/>
          <w:szCs w:val="22"/>
          <w:lang w:val="en-ID"/>
        </w:rPr>
        <w:lastRenderedPageBreak/>
        <w:t>Hidayati</w:t>
      </w:r>
      <w:bookmarkEnd w:id="8"/>
      <w:r w:rsidRPr="005A2266">
        <w:rPr>
          <w:rFonts w:ascii="Book Antiqua" w:hAnsi="Book Antiqua"/>
          <w:sz w:val="22"/>
          <w:szCs w:val="22"/>
          <w:lang w:val="en-ID"/>
        </w:rPr>
        <w:t xml:space="preserve">, R., &amp; Suriansyah, A. (2022). Correlation among School Principal Leadership, Work Culture and Work Motivation toward Job Satisfaction of Junior High School Teachers in Balangan Regency. </w:t>
      </w:r>
      <w:r w:rsidRPr="005A2266">
        <w:rPr>
          <w:rFonts w:ascii="Book Antiqua" w:hAnsi="Book Antiqua"/>
          <w:i/>
          <w:iCs/>
          <w:sz w:val="22"/>
          <w:szCs w:val="22"/>
          <w:lang w:val="en-ID"/>
        </w:rPr>
        <w:t>International Journal of Social Science and Human Research</w:t>
      </w:r>
      <w:r w:rsidRPr="005A2266">
        <w:rPr>
          <w:rFonts w:ascii="Book Antiqua" w:hAnsi="Book Antiqua"/>
          <w:sz w:val="22"/>
          <w:szCs w:val="22"/>
          <w:lang w:val="en-ID"/>
        </w:rPr>
        <w:t xml:space="preserve">, </w:t>
      </w:r>
      <w:r w:rsidRPr="005A2266">
        <w:rPr>
          <w:rFonts w:ascii="Book Antiqua" w:hAnsi="Book Antiqua"/>
          <w:i/>
          <w:iCs/>
          <w:sz w:val="22"/>
          <w:szCs w:val="22"/>
          <w:lang w:val="en-ID"/>
        </w:rPr>
        <w:t>5</w:t>
      </w:r>
      <w:r w:rsidRPr="005A2266">
        <w:rPr>
          <w:rFonts w:ascii="Book Antiqua" w:hAnsi="Book Antiqua"/>
          <w:sz w:val="22"/>
          <w:szCs w:val="22"/>
          <w:lang w:val="en-ID"/>
        </w:rPr>
        <w:t xml:space="preserve">(6), 2439–2446. </w:t>
      </w:r>
      <w:hyperlink r:id="rId18" w:history="1">
        <w:r w:rsidRPr="005A2266">
          <w:rPr>
            <w:rStyle w:val="Hyperlink"/>
            <w:rFonts w:ascii="Book Antiqua" w:hAnsi="Book Antiqua"/>
            <w:sz w:val="22"/>
            <w:szCs w:val="22"/>
            <w:lang w:val="en-ID"/>
          </w:rPr>
          <w:t>https://doi.org/10.47191/ijsshr/v5-i6-69</w:t>
        </w:r>
      </w:hyperlink>
    </w:p>
    <w:p w14:paraId="412383CC" w14:textId="77777777" w:rsidR="005A2266" w:rsidRPr="005A2266" w:rsidRDefault="005A2266" w:rsidP="005A2266">
      <w:pPr>
        <w:spacing w:after="240"/>
        <w:ind w:left="709" w:hanging="709"/>
        <w:jc w:val="both"/>
        <w:rPr>
          <w:rFonts w:ascii="Book Antiqua" w:hAnsi="Book Antiqua"/>
          <w:sz w:val="22"/>
          <w:szCs w:val="22"/>
          <w:lang w:val="en-ID"/>
        </w:rPr>
      </w:pPr>
      <w:bookmarkStart w:id="9" w:name="Katsikas"/>
      <w:r w:rsidRPr="005A2266">
        <w:rPr>
          <w:rFonts w:ascii="Book Antiqua" w:hAnsi="Book Antiqua"/>
          <w:sz w:val="22"/>
          <w:szCs w:val="22"/>
          <w:lang w:val="en-ID"/>
        </w:rPr>
        <w:t>Katsikas</w:t>
      </w:r>
      <w:bookmarkEnd w:id="9"/>
      <w:r w:rsidRPr="005A2266">
        <w:rPr>
          <w:rFonts w:ascii="Book Antiqua" w:hAnsi="Book Antiqua"/>
          <w:sz w:val="22"/>
          <w:szCs w:val="22"/>
          <w:lang w:val="en-ID"/>
        </w:rPr>
        <w:t xml:space="preserve">, A. (2025). Leadership Style in Education: Advantages and Challenges. </w:t>
      </w:r>
      <w:r w:rsidRPr="005A2266">
        <w:rPr>
          <w:rFonts w:ascii="Book Antiqua" w:hAnsi="Book Antiqua"/>
          <w:i/>
          <w:iCs/>
          <w:sz w:val="22"/>
          <w:szCs w:val="22"/>
          <w:lang w:val="en-ID"/>
        </w:rPr>
        <w:t>International Electronic Journal of Elementary Education</w:t>
      </w:r>
      <w:r w:rsidRPr="005A2266">
        <w:rPr>
          <w:rFonts w:ascii="Book Antiqua" w:hAnsi="Book Antiqua"/>
          <w:sz w:val="22"/>
          <w:szCs w:val="22"/>
          <w:lang w:val="en-ID"/>
        </w:rPr>
        <w:t xml:space="preserve">, </w:t>
      </w:r>
      <w:r w:rsidRPr="005A2266">
        <w:rPr>
          <w:rFonts w:ascii="Book Antiqua" w:hAnsi="Book Antiqua"/>
          <w:i/>
          <w:iCs/>
          <w:sz w:val="22"/>
          <w:szCs w:val="22"/>
          <w:lang w:val="en-ID"/>
        </w:rPr>
        <w:t>17</w:t>
      </w:r>
      <w:r w:rsidRPr="005A2266">
        <w:rPr>
          <w:rFonts w:ascii="Book Antiqua" w:hAnsi="Book Antiqua"/>
          <w:sz w:val="22"/>
          <w:szCs w:val="22"/>
          <w:lang w:val="en-ID"/>
        </w:rPr>
        <w:t>(3), 397–403.</w:t>
      </w:r>
    </w:p>
    <w:p w14:paraId="0A83FDB5" w14:textId="77777777" w:rsidR="005A2266" w:rsidRPr="005A2266" w:rsidRDefault="005A2266" w:rsidP="005A2266">
      <w:pPr>
        <w:spacing w:after="240"/>
        <w:ind w:left="709" w:hanging="709"/>
        <w:jc w:val="both"/>
        <w:rPr>
          <w:rFonts w:ascii="Book Antiqua" w:hAnsi="Book Antiqua"/>
          <w:sz w:val="22"/>
          <w:szCs w:val="22"/>
          <w:lang w:val="en-ID"/>
        </w:rPr>
      </w:pPr>
      <w:bookmarkStart w:id="10" w:name="Lincoln"/>
      <w:r w:rsidRPr="005A2266">
        <w:rPr>
          <w:rFonts w:ascii="Book Antiqua" w:hAnsi="Book Antiqua"/>
          <w:sz w:val="22"/>
          <w:szCs w:val="22"/>
          <w:lang w:val="en-ID"/>
        </w:rPr>
        <w:t>Lincoln</w:t>
      </w:r>
      <w:bookmarkEnd w:id="10"/>
      <w:r w:rsidRPr="005A2266">
        <w:rPr>
          <w:rFonts w:ascii="Book Antiqua" w:hAnsi="Book Antiqua"/>
          <w:sz w:val="22"/>
          <w:szCs w:val="22"/>
          <w:lang w:val="en-ID"/>
        </w:rPr>
        <w:t xml:space="preserve">, Y. S., &amp; Guba, E. G. (1985). </w:t>
      </w:r>
      <w:r w:rsidRPr="005A2266">
        <w:rPr>
          <w:rFonts w:ascii="Book Antiqua" w:hAnsi="Book Antiqua"/>
          <w:i/>
          <w:iCs/>
          <w:sz w:val="22"/>
          <w:szCs w:val="22"/>
          <w:lang w:val="en-ID"/>
        </w:rPr>
        <w:t>Naturalistic Inquiry</w:t>
      </w:r>
      <w:r w:rsidRPr="005A2266">
        <w:rPr>
          <w:rFonts w:ascii="Book Antiqua" w:hAnsi="Book Antiqua"/>
          <w:sz w:val="22"/>
          <w:szCs w:val="22"/>
          <w:lang w:val="en-ID"/>
        </w:rPr>
        <w:t>. SAGE Publications.</w:t>
      </w:r>
    </w:p>
    <w:p w14:paraId="04A8BF02" w14:textId="102A7B5C" w:rsidR="005A2266" w:rsidRPr="005A2266" w:rsidRDefault="005A2266" w:rsidP="005A2266">
      <w:pPr>
        <w:spacing w:after="240"/>
        <w:ind w:left="709" w:hanging="709"/>
        <w:jc w:val="both"/>
        <w:rPr>
          <w:rFonts w:ascii="Book Antiqua" w:hAnsi="Book Antiqua"/>
          <w:sz w:val="22"/>
          <w:szCs w:val="22"/>
          <w:lang w:val="en-ID"/>
        </w:rPr>
      </w:pPr>
      <w:bookmarkStart w:id="11" w:name="Mercetic"/>
      <w:r w:rsidRPr="005A2266">
        <w:rPr>
          <w:rFonts w:ascii="Book Antiqua" w:hAnsi="Book Antiqua"/>
          <w:sz w:val="22"/>
          <w:szCs w:val="22"/>
          <w:lang w:val="en-ID"/>
        </w:rPr>
        <w:t>Mercetic</w:t>
      </w:r>
      <w:bookmarkEnd w:id="11"/>
      <w:r w:rsidRPr="005A2266">
        <w:rPr>
          <w:rFonts w:ascii="Book Antiqua" w:hAnsi="Book Antiqua"/>
          <w:sz w:val="22"/>
          <w:szCs w:val="22"/>
          <w:lang w:val="en-ID"/>
        </w:rPr>
        <w:t xml:space="preserve">, V., &amp; Vukotic, S. (2020). The Analysis of Situational Leadership Models: Origin, Divergence and Development. </w:t>
      </w:r>
      <w:r w:rsidRPr="005A2266">
        <w:rPr>
          <w:rFonts w:ascii="Book Antiqua" w:hAnsi="Book Antiqua"/>
          <w:i/>
          <w:iCs/>
          <w:sz w:val="22"/>
          <w:szCs w:val="22"/>
          <w:lang w:val="en-ID"/>
        </w:rPr>
        <w:t>Innovations in the Function of Development</w:t>
      </w:r>
      <w:r w:rsidRPr="005A2266">
        <w:rPr>
          <w:rFonts w:ascii="Book Antiqua" w:hAnsi="Book Antiqua"/>
          <w:sz w:val="22"/>
          <w:szCs w:val="22"/>
          <w:lang w:val="en-ID"/>
        </w:rPr>
        <w:t xml:space="preserve">, September 2020, 93–113. </w:t>
      </w:r>
    </w:p>
    <w:p w14:paraId="58B45052" w14:textId="77777777" w:rsidR="005A2266" w:rsidRPr="005A2266" w:rsidRDefault="005A2266" w:rsidP="005A2266">
      <w:pPr>
        <w:spacing w:after="240"/>
        <w:ind w:left="709" w:hanging="709"/>
        <w:jc w:val="both"/>
        <w:rPr>
          <w:rFonts w:ascii="Book Antiqua" w:hAnsi="Book Antiqua"/>
          <w:sz w:val="22"/>
          <w:szCs w:val="22"/>
          <w:lang w:val="en-ID"/>
        </w:rPr>
      </w:pPr>
      <w:bookmarkStart w:id="12" w:name="Miles"/>
      <w:r w:rsidRPr="005A2266">
        <w:rPr>
          <w:rFonts w:ascii="Book Antiqua" w:hAnsi="Book Antiqua"/>
          <w:sz w:val="22"/>
          <w:szCs w:val="22"/>
          <w:lang w:val="en-ID"/>
        </w:rPr>
        <w:t>Miles</w:t>
      </w:r>
      <w:bookmarkEnd w:id="12"/>
      <w:r w:rsidRPr="005A2266">
        <w:rPr>
          <w:rFonts w:ascii="Book Antiqua" w:hAnsi="Book Antiqua"/>
          <w:sz w:val="22"/>
          <w:szCs w:val="22"/>
          <w:lang w:val="en-ID"/>
        </w:rPr>
        <w:t xml:space="preserve">, M. B., Huberman, A. M., &amp; Saldaña, J. (2014). </w:t>
      </w:r>
      <w:r w:rsidRPr="005A2266">
        <w:rPr>
          <w:rFonts w:ascii="Book Antiqua" w:hAnsi="Book Antiqua"/>
          <w:i/>
          <w:iCs/>
          <w:sz w:val="22"/>
          <w:szCs w:val="22"/>
          <w:lang w:val="en-ID"/>
        </w:rPr>
        <w:t>Qualitative Data Analysis: A Methods Sourcebook</w:t>
      </w:r>
      <w:r w:rsidRPr="005A2266">
        <w:rPr>
          <w:rFonts w:ascii="Book Antiqua" w:hAnsi="Book Antiqua"/>
          <w:sz w:val="22"/>
          <w:szCs w:val="22"/>
          <w:lang w:val="en-ID"/>
        </w:rPr>
        <w:t xml:space="preserve"> (3rd ed.). SAGE Publications.</w:t>
      </w:r>
    </w:p>
    <w:p w14:paraId="187A3428" w14:textId="77777777" w:rsidR="005A2266" w:rsidRPr="005A2266" w:rsidRDefault="005A2266" w:rsidP="005A2266">
      <w:pPr>
        <w:spacing w:after="240"/>
        <w:ind w:left="709" w:hanging="709"/>
        <w:jc w:val="both"/>
        <w:rPr>
          <w:rFonts w:ascii="Book Antiqua" w:hAnsi="Book Antiqua"/>
          <w:sz w:val="22"/>
          <w:szCs w:val="22"/>
          <w:lang w:val="en-ID"/>
        </w:rPr>
      </w:pPr>
      <w:bookmarkStart w:id="13" w:name="Norlatifah"/>
      <w:r w:rsidRPr="005A2266">
        <w:rPr>
          <w:rFonts w:ascii="Book Antiqua" w:hAnsi="Book Antiqua"/>
          <w:sz w:val="22"/>
          <w:szCs w:val="22"/>
          <w:lang w:val="en-ID"/>
        </w:rPr>
        <w:t>Norlatifah</w:t>
      </w:r>
      <w:bookmarkEnd w:id="13"/>
      <w:r w:rsidRPr="005A2266">
        <w:rPr>
          <w:rFonts w:ascii="Book Antiqua" w:hAnsi="Book Antiqua"/>
          <w:sz w:val="22"/>
          <w:szCs w:val="22"/>
          <w:lang w:val="en-ID"/>
        </w:rPr>
        <w:t xml:space="preserve">, E., Aslamiah, A., &amp; Wahyu, W. (2024). Pengaruh Kepemimpinan Transformasional Kepala Sekolah, Kreativitas, Motivasi Kerja terhadap Kinerja Guru di Lembaga PAUD di Kecamatan Amuntai Tengah. </w:t>
      </w:r>
      <w:r w:rsidRPr="005A2266">
        <w:rPr>
          <w:rFonts w:ascii="Book Antiqua" w:hAnsi="Book Antiqua"/>
          <w:i/>
          <w:iCs/>
          <w:sz w:val="22"/>
          <w:szCs w:val="22"/>
          <w:lang w:val="en-ID"/>
        </w:rPr>
        <w:t>Golden Age: Jurnal Pendidikan Anak Usia Dini</w:t>
      </w:r>
      <w:r w:rsidRPr="005A2266">
        <w:rPr>
          <w:rFonts w:ascii="Book Antiqua" w:hAnsi="Book Antiqua"/>
          <w:sz w:val="22"/>
          <w:szCs w:val="22"/>
          <w:lang w:val="en-ID"/>
        </w:rPr>
        <w:t xml:space="preserve">, </w:t>
      </w:r>
      <w:r w:rsidRPr="005A2266">
        <w:rPr>
          <w:rFonts w:ascii="Book Antiqua" w:hAnsi="Book Antiqua"/>
          <w:i/>
          <w:iCs/>
          <w:sz w:val="22"/>
          <w:szCs w:val="22"/>
          <w:lang w:val="en-ID"/>
        </w:rPr>
        <w:t>8</w:t>
      </w:r>
      <w:r w:rsidRPr="005A2266">
        <w:rPr>
          <w:rFonts w:ascii="Book Antiqua" w:hAnsi="Book Antiqua"/>
          <w:sz w:val="22"/>
          <w:szCs w:val="22"/>
          <w:lang w:val="en-ID"/>
        </w:rPr>
        <w:t>(2), 325–338.</w:t>
      </w:r>
    </w:p>
    <w:p w14:paraId="232F9842" w14:textId="3E3B1529" w:rsidR="005A2266" w:rsidRPr="005A2266" w:rsidRDefault="005A2266" w:rsidP="005A2266">
      <w:pPr>
        <w:spacing w:after="240"/>
        <w:ind w:left="709" w:hanging="709"/>
        <w:jc w:val="both"/>
        <w:rPr>
          <w:rFonts w:ascii="Book Antiqua" w:hAnsi="Book Antiqua"/>
          <w:sz w:val="22"/>
          <w:szCs w:val="22"/>
          <w:lang w:val="en-ID"/>
        </w:rPr>
      </w:pPr>
      <w:bookmarkStart w:id="14" w:name="Nuhiya"/>
      <w:r w:rsidRPr="005A2266">
        <w:rPr>
          <w:rFonts w:ascii="Book Antiqua" w:hAnsi="Book Antiqua"/>
          <w:sz w:val="22"/>
          <w:szCs w:val="22"/>
          <w:lang w:val="en-ID"/>
        </w:rPr>
        <w:t>Nuhiya</w:t>
      </w:r>
      <w:bookmarkEnd w:id="14"/>
      <w:r w:rsidRPr="005A2266">
        <w:rPr>
          <w:rFonts w:ascii="Book Antiqua" w:hAnsi="Book Antiqua"/>
          <w:sz w:val="22"/>
          <w:szCs w:val="22"/>
          <w:lang w:val="en-ID"/>
        </w:rPr>
        <w:t xml:space="preserve">, S., Podungge, R., &amp; Pakaya, A. R. (2024). Pengaruh Gaya Kepemimpinan Situasional dan Lingkungan Kerja terhadap Kinerja Pegawai di Kecamatan Helumo. </w:t>
      </w:r>
      <w:r w:rsidRPr="005A2266">
        <w:rPr>
          <w:rFonts w:ascii="Book Antiqua" w:hAnsi="Book Antiqua"/>
          <w:i/>
          <w:iCs/>
          <w:sz w:val="22"/>
          <w:szCs w:val="22"/>
          <w:lang w:val="en-ID"/>
        </w:rPr>
        <w:t>Jambura Journal of Educational Management</w:t>
      </w:r>
      <w:r w:rsidRPr="005A2266">
        <w:rPr>
          <w:rFonts w:ascii="Book Antiqua" w:hAnsi="Book Antiqua"/>
          <w:sz w:val="22"/>
          <w:szCs w:val="22"/>
          <w:lang w:val="en-ID"/>
        </w:rPr>
        <w:t xml:space="preserve">, </w:t>
      </w:r>
      <w:r w:rsidRPr="005A2266">
        <w:rPr>
          <w:rFonts w:ascii="Book Antiqua" w:hAnsi="Book Antiqua"/>
          <w:i/>
          <w:iCs/>
          <w:sz w:val="22"/>
          <w:szCs w:val="22"/>
          <w:lang w:val="en-ID"/>
        </w:rPr>
        <w:t>7</w:t>
      </w:r>
      <w:r w:rsidRPr="005A2266">
        <w:rPr>
          <w:rFonts w:ascii="Book Antiqua" w:hAnsi="Book Antiqua"/>
          <w:sz w:val="22"/>
          <w:szCs w:val="22"/>
          <w:lang w:val="en-ID"/>
        </w:rPr>
        <w:t xml:space="preserve">(1), 295–302. </w:t>
      </w:r>
    </w:p>
    <w:p w14:paraId="73F0D884" w14:textId="77777777" w:rsidR="005A2266" w:rsidRPr="005A2266" w:rsidRDefault="005A2266" w:rsidP="005A2266">
      <w:pPr>
        <w:spacing w:after="240"/>
        <w:ind w:left="709" w:hanging="709"/>
        <w:jc w:val="both"/>
        <w:rPr>
          <w:rFonts w:ascii="Book Antiqua" w:hAnsi="Book Antiqua"/>
          <w:sz w:val="22"/>
          <w:szCs w:val="22"/>
          <w:lang w:val="en-ID"/>
        </w:rPr>
      </w:pPr>
      <w:bookmarkStart w:id="15" w:name="Prasetyo"/>
      <w:r w:rsidRPr="005A2266">
        <w:rPr>
          <w:rFonts w:ascii="Book Antiqua" w:hAnsi="Book Antiqua"/>
          <w:sz w:val="22"/>
          <w:szCs w:val="22"/>
          <w:lang w:val="en-ID"/>
        </w:rPr>
        <w:t>Prasetyo</w:t>
      </w:r>
      <w:bookmarkEnd w:id="15"/>
      <w:r w:rsidRPr="005A2266">
        <w:rPr>
          <w:rFonts w:ascii="Book Antiqua" w:hAnsi="Book Antiqua"/>
          <w:sz w:val="22"/>
          <w:szCs w:val="22"/>
          <w:lang w:val="en-ID"/>
        </w:rPr>
        <w:t xml:space="preserve">, M. A. M. (2022). Pesantren Efektif: Studi Gaya Kepemimpinan Partisipatif. </w:t>
      </w:r>
      <w:r w:rsidRPr="005A2266">
        <w:rPr>
          <w:rFonts w:ascii="Book Antiqua" w:hAnsi="Book Antiqua"/>
          <w:i/>
          <w:iCs/>
          <w:sz w:val="22"/>
          <w:szCs w:val="22"/>
          <w:lang w:val="en-ID"/>
        </w:rPr>
        <w:t>Munaddhomah: Jurnal Manajemen Pendidikan Islam</w:t>
      </w:r>
      <w:r w:rsidRPr="005A2266">
        <w:rPr>
          <w:rFonts w:ascii="Book Antiqua" w:hAnsi="Book Antiqua"/>
          <w:sz w:val="22"/>
          <w:szCs w:val="22"/>
          <w:lang w:val="en-ID"/>
        </w:rPr>
        <w:t xml:space="preserve">, </w:t>
      </w:r>
      <w:r w:rsidRPr="005A2266">
        <w:rPr>
          <w:rFonts w:ascii="Book Antiqua" w:hAnsi="Book Antiqua"/>
          <w:i/>
          <w:iCs/>
          <w:sz w:val="22"/>
          <w:szCs w:val="22"/>
          <w:lang w:val="en-ID"/>
        </w:rPr>
        <w:t>3</w:t>
      </w:r>
      <w:r w:rsidRPr="005A2266">
        <w:rPr>
          <w:rFonts w:ascii="Book Antiqua" w:hAnsi="Book Antiqua"/>
          <w:sz w:val="22"/>
          <w:szCs w:val="22"/>
          <w:lang w:val="en-ID"/>
        </w:rPr>
        <w:t>(1), 1–12.</w:t>
      </w:r>
    </w:p>
    <w:p w14:paraId="79AF3729" w14:textId="77777777" w:rsidR="005A2266" w:rsidRPr="005A2266" w:rsidRDefault="005A2266" w:rsidP="005A2266">
      <w:pPr>
        <w:spacing w:after="240"/>
        <w:ind w:left="709" w:hanging="709"/>
        <w:jc w:val="both"/>
        <w:rPr>
          <w:rFonts w:ascii="Book Antiqua" w:hAnsi="Book Antiqua"/>
          <w:sz w:val="22"/>
          <w:szCs w:val="22"/>
          <w:lang w:val="en-ID"/>
        </w:rPr>
      </w:pPr>
      <w:bookmarkStart w:id="16" w:name="Regassa"/>
      <w:r w:rsidRPr="005A2266">
        <w:rPr>
          <w:rFonts w:ascii="Book Antiqua" w:hAnsi="Book Antiqua"/>
          <w:sz w:val="22"/>
          <w:szCs w:val="22"/>
          <w:lang w:val="en-ID"/>
        </w:rPr>
        <w:t>Regassa</w:t>
      </w:r>
      <w:bookmarkEnd w:id="16"/>
      <w:r w:rsidRPr="005A2266">
        <w:rPr>
          <w:rFonts w:ascii="Book Antiqua" w:hAnsi="Book Antiqua"/>
          <w:sz w:val="22"/>
          <w:szCs w:val="22"/>
          <w:lang w:val="en-ID"/>
        </w:rPr>
        <w:t xml:space="preserve">, T., &amp; Mamo, T. (2024). A Systematic Review: Educational Supervision in Different Countries from Instructional Improvement Perspective. </w:t>
      </w:r>
      <w:r w:rsidRPr="005A2266">
        <w:rPr>
          <w:rFonts w:ascii="Book Antiqua" w:hAnsi="Book Antiqua"/>
          <w:i/>
          <w:iCs/>
          <w:sz w:val="22"/>
          <w:szCs w:val="22"/>
          <w:lang w:val="en-ID"/>
        </w:rPr>
        <w:t>Science Research</w:t>
      </w:r>
      <w:r w:rsidRPr="005A2266">
        <w:rPr>
          <w:rFonts w:ascii="Book Antiqua" w:hAnsi="Book Antiqua"/>
          <w:sz w:val="22"/>
          <w:szCs w:val="22"/>
          <w:lang w:val="en-ID"/>
        </w:rPr>
        <w:t xml:space="preserve">, </w:t>
      </w:r>
      <w:r w:rsidRPr="005A2266">
        <w:rPr>
          <w:rFonts w:ascii="Book Antiqua" w:hAnsi="Book Antiqua"/>
          <w:i/>
          <w:iCs/>
          <w:sz w:val="22"/>
          <w:szCs w:val="22"/>
          <w:lang w:val="en-ID"/>
        </w:rPr>
        <w:t>12</w:t>
      </w:r>
      <w:r w:rsidRPr="005A2266">
        <w:rPr>
          <w:rFonts w:ascii="Book Antiqua" w:hAnsi="Book Antiqua"/>
          <w:sz w:val="22"/>
          <w:szCs w:val="22"/>
          <w:lang w:val="en-ID"/>
        </w:rPr>
        <w:t xml:space="preserve">(4), 86–96. </w:t>
      </w:r>
      <w:hyperlink r:id="rId19" w:history="1">
        <w:r w:rsidRPr="005A2266">
          <w:rPr>
            <w:rStyle w:val="Hyperlink"/>
            <w:rFonts w:ascii="Book Antiqua" w:hAnsi="Book Antiqua"/>
            <w:sz w:val="22"/>
            <w:szCs w:val="22"/>
            <w:lang w:val="en-ID"/>
          </w:rPr>
          <w:t>https://doi.org/10.11648/j.sr.20241204.13</w:t>
        </w:r>
      </w:hyperlink>
    </w:p>
    <w:p w14:paraId="51E41FCC" w14:textId="77777777" w:rsidR="005A2266" w:rsidRPr="005A2266" w:rsidRDefault="005A2266" w:rsidP="005A2266">
      <w:pPr>
        <w:spacing w:after="240"/>
        <w:ind w:left="709" w:hanging="709"/>
        <w:jc w:val="both"/>
        <w:rPr>
          <w:rFonts w:ascii="Book Antiqua" w:hAnsi="Book Antiqua"/>
          <w:sz w:val="22"/>
          <w:szCs w:val="22"/>
          <w:lang w:val="pt-BR"/>
        </w:rPr>
      </w:pPr>
      <w:bookmarkStart w:id="17" w:name="Rosadi"/>
      <w:r w:rsidRPr="005A2266">
        <w:rPr>
          <w:rFonts w:ascii="Book Antiqua" w:hAnsi="Book Antiqua"/>
          <w:sz w:val="22"/>
          <w:szCs w:val="22"/>
          <w:lang w:val="en-ID"/>
        </w:rPr>
        <w:t>Rosadi</w:t>
      </w:r>
      <w:bookmarkEnd w:id="17"/>
      <w:r w:rsidRPr="005A2266">
        <w:rPr>
          <w:rFonts w:ascii="Book Antiqua" w:hAnsi="Book Antiqua"/>
          <w:sz w:val="22"/>
          <w:szCs w:val="22"/>
          <w:lang w:val="en-ID"/>
        </w:rPr>
        <w:t xml:space="preserve">, R. M. D. (2021). </w:t>
      </w:r>
      <w:r w:rsidRPr="005A2266">
        <w:rPr>
          <w:rFonts w:ascii="Book Antiqua" w:hAnsi="Book Antiqua"/>
          <w:i/>
          <w:iCs/>
          <w:sz w:val="22"/>
          <w:szCs w:val="22"/>
          <w:lang w:val="en-ID"/>
        </w:rPr>
        <w:t>Efektivitas Kepemimpinan Ketua PKBM dalam Peningkatan Mutu Layanan Pembelajaran</w:t>
      </w:r>
      <w:r w:rsidRPr="005A2266">
        <w:rPr>
          <w:rFonts w:ascii="Book Antiqua" w:hAnsi="Book Antiqua"/>
          <w:sz w:val="22"/>
          <w:szCs w:val="22"/>
          <w:lang w:val="en-ID"/>
        </w:rPr>
        <w:t xml:space="preserve"> [Tesis magister, Universitas Pendidikan Indonesia]. </w:t>
      </w:r>
      <w:hyperlink r:id="rId20" w:history="1">
        <w:r w:rsidRPr="005A2266">
          <w:rPr>
            <w:rStyle w:val="Hyperlink"/>
            <w:rFonts w:ascii="Book Antiqua" w:hAnsi="Book Antiqua"/>
            <w:sz w:val="22"/>
            <w:szCs w:val="22"/>
            <w:lang w:val="pt-BR"/>
          </w:rPr>
          <w:t>https://repository.upi.edu/67500/1/T_ADPEN_1911643_Title.pdf</w:t>
        </w:r>
      </w:hyperlink>
    </w:p>
    <w:p w14:paraId="37A4B159" w14:textId="77777777" w:rsidR="005A2266" w:rsidRPr="005A2266" w:rsidRDefault="005A2266" w:rsidP="005A2266">
      <w:pPr>
        <w:spacing w:after="240"/>
        <w:ind w:left="709" w:hanging="709"/>
        <w:jc w:val="both"/>
        <w:rPr>
          <w:rFonts w:ascii="Book Antiqua" w:hAnsi="Book Antiqua"/>
          <w:sz w:val="22"/>
          <w:szCs w:val="22"/>
          <w:lang w:val="en-ID"/>
        </w:rPr>
      </w:pPr>
      <w:bookmarkStart w:id="18" w:name="Safitri"/>
      <w:r w:rsidRPr="005A2266">
        <w:rPr>
          <w:rFonts w:ascii="Book Antiqua" w:hAnsi="Book Antiqua"/>
          <w:sz w:val="22"/>
          <w:szCs w:val="22"/>
          <w:lang w:val="pt-BR"/>
        </w:rPr>
        <w:t>Safitri</w:t>
      </w:r>
      <w:bookmarkEnd w:id="18"/>
      <w:r w:rsidRPr="005A2266">
        <w:rPr>
          <w:rFonts w:ascii="Book Antiqua" w:hAnsi="Book Antiqua"/>
          <w:sz w:val="22"/>
          <w:szCs w:val="22"/>
          <w:lang w:val="pt-BR"/>
        </w:rPr>
        <w:t xml:space="preserve">, N. A., &amp; Santoso, B. (2022). Pengaruh Kesejahteraan Psikologis, Lingkungan Kerja Fisik, dan Disiplin Kerja terhadap Kepuasan Kerja Guru Tidak Tetap di SMK Negeri 1 Nganjuk. </w:t>
      </w:r>
      <w:r w:rsidRPr="005A2266">
        <w:rPr>
          <w:rFonts w:ascii="Book Antiqua" w:hAnsi="Book Antiqua"/>
          <w:i/>
          <w:iCs/>
          <w:sz w:val="22"/>
          <w:szCs w:val="22"/>
          <w:lang w:val="en-ID"/>
        </w:rPr>
        <w:t>Jurnal E-Bis</w:t>
      </w:r>
      <w:r w:rsidRPr="005A2266">
        <w:rPr>
          <w:rFonts w:ascii="Book Antiqua" w:hAnsi="Book Antiqua"/>
          <w:sz w:val="22"/>
          <w:szCs w:val="22"/>
          <w:lang w:val="en-ID"/>
        </w:rPr>
        <w:t xml:space="preserve">, </w:t>
      </w:r>
      <w:r w:rsidRPr="005A2266">
        <w:rPr>
          <w:rFonts w:ascii="Book Antiqua" w:hAnsi="Book Antiqua"/>
          <w:i/>
          <w:iCs/>
          <w:sz w:val="22"/>
          <w:szCs w:val="22"/>
          <w:lang w:val="en-ID"/>
        </w:rPr>
        <w:t>6</w:t>
      </w:r>
      <w:r w:rsidRPr="005A2266">
        <w:rPr>
          <w:rFonts w:ascii="Book Antiqua" w:hAnsi="Book Antiqua"/>
          <w:sz w:val="22"/>
          <w:szCs w:val="22"/>
          <w:lang w:val="en-ID"/>
        </w:rPr>
        <w:t>(2), 595–605.</w:t>
      </w:r>
    </w:p>
    <w:p w14:paraId="44346DD0" w14:textId="77777777" w:rsidR="005A2266" w:rsidRPr="005A2266" w:rsidRDefault="005A2266" w:rsidP="005A2266">
      <w:pPr>
        <w:spacing w:after="240"/>
        <w:ind w:left="709" w:hanging="709"/>
        <w:jc w:val="both"/>
        <w:rPr>
          <w:rFonts w:ascii="Book Antiqua" w:hAnsi="Book Antiqua"/>
          <w:sz w:val="22"/>
          <w:szCs w:val="22"/>
          <w:lang w:val="en-ID"/>
        </w:rPr>
      </w:pPr>
      <w:bookmarkStart w:id="19" w:name="Sulaxono"/>
      <w:r w:rsidRPr="005A2266">
        <w:rPr>
          <w:rFonts w:ascii="Book Antiqua" w:hAnsi="Book Antiqua"/>
          <w:sz w:val="22"/>
          <w:szCs w:val="22"/>
          <w:lang w:val="en-ID"/>
        </w:rPr>
        <w:t>Sulaxono</w:t>
      </w:r>
      <w:bookmarkEnd w:id="19"/>
      <w:r w:rsidRPr="005A2266">
        <w:rPr>
          <w:rFonts w:ascii="Book Antiqua" w:hAnsi="Book Antiqua"/>
          <w:sz w:val="22"/>
          <w:szCs w:val="22"/>
          <w:lang w:val="en-ID"/>
        </w:rPr>
        <w:t xml:space="preserve">, Rezita, L., &amp; Suriansyah, A. (2020). Relationship of Transformational Leadership and Work Motivation through Discipline and Teacher Performance. </w:t>
      </w:r>
      <w:r w:rsidRPr="005A2266">
        <w:rPr>
          <w:rFonts w:ascii="Book Antiqua" w:hAnsi="Book Antiqua"/>
          <w:i/>
          <w:iCs/>
          <w:sz w:val="22"/>
          <w:szCs w:val="22"/>
          <w:lang w:val="en-ID"/>
        </w:rPr>
        <w:t>Journal of K6 Education and Management</w:t>
      </w:r>
      <w:r w:rsidRPr="005A2266">
        <w:rPr>
          <w:rFonts w:ascii="Book Antiqua" w:hAnsi="Book Antiqua"/>
          <w:sz w:val="22"/>
          <w:szCs w:val="22"/>
          <w:lang w:val="en-ID"/>
        </w:rPr>
        <w:t xml:space="preserve">, </w:t>
      </w:r>
      <w:r w:rsidRPr="005A2266">
        <w:rPr>
          <w:rFonts w:ascii="Book Antiqua" w:hAnsi="Book Antiqua"/>
          <w:i/>
          <w:iCs/>
          <w:sz w:val="22"/>
          <w:szCs w:val="22"/>
          <w:lang w:val="en-ID"/>
        </w:rPr>
        <w:t>3</w:t>
      </w:r>
      <w:r w:rsidRPr="005A2266">
        <w:rPr>
          <w:rFonts w:ascii="Book Antiqua" w:hAnsi="Book Antiqua"/>
          <w:sz w:val="22"/>
          <w:szCs w:val="22"/>
          <w:lang w:val="en-ID"/>
        </w:rPr>
        <w:t xml:space="preserve">(1), 57–65. </w:t>
      </w:r>
      <w:hyperlink r:id="rId21" w:history="1">
        <w:r w:rsidRPr="005A2266">
          <w:rPr>
            <w:rStyle w:val="Hyperlink"/>
            <w:rFonts w:ascii="Book Antiqua" w:hAnsi="Book Antiqua"/>
            <w:sz w:val="22"/>
            <w:szCs w:val="22"/>
            <w:lang w:val="en-ID"/>
          </w:rPr>
          <w:t>https://doi.org/10.11594/jk6em.03.01.08</w:t>
        </w:r>
      </w:hyperlink>
    </w:p>
    <w:p w14:paraId="2A658D2B" w14:textId="77777777" w:rsidR="005A2266" w:rsidRPr="005A2266" w:rsidRDefault="005A2266" w:rsidP="005A2266">
      <w:pPr>
        <w:spacing w:after="240"/>
        <w:ind w:left="709" w:hanging="709"/>
        <w:jc w:val="both"/>
        <w:rPr>
          <w:rFonts w:ascii="Book Antiqua" w:hAnsi="Book Antiqua"/>
          <w:sz w:val="22"/>
          <w:szCs w:val="22"/>
          <w:lang w:val="fi-FI"/>
        </w:rPr>
      </w:pPr>
      <w:bookmarkStart w:id="20" w:name="Sundari"/>
      <w:r w:rsidRPr="005A2266">
        <w:rPr>
          <w:rFonts w:ascii="Book Antiqua" w:hAnsi="Book Antiqua"/>
          <w:sz w:val="22"/>
          <w:szCs w:val="22"/>
          <w:lang w:val="fi-FI"/>
        </w:rPr>
        <w:t>Sundari</w:t>
      </w:r>
      <w:bookmarkEnd w:id="20"/>
      <w:r w:rsidRPr="005A2266">
        <w:rPr>
          <w:rFonts w:ascii="Book Antiqua" w:hAnsi="Book Antiqua"/>
          <w:sz w:val="22"/>
          <w:szCs w:val="22"/>
          <w:lang w:val="fi-FI"/>
        </w:rPr>
        <w:t xml:space="preserve">, A., Rozi, A. F., &amp; Syaikhudin, A. Y. (2022). </w:t>
      </w:r>
      <w:r w:rsidRPr="005A2266">
        <w:rPr>
          <w:rFonts w:ascii="Book Antiqua" w:hAnsi="Book Antiqua"/>
          <w:i/>
          <w:iCs/>
          <w:sz w:val="22"/>
          <w:szCs w:val="22"/>
          <w:lang w:val="fi-FI"/>
        </w:rPr>
        <w:t>Kepemimpinan</w:t>
      </w:r>
      <w:r w:rsidRPr="005A2266">
        <w:rPr>
          <w:rFonts w:ascii="Book Antiqua" w:hAnsi="Book Antiqua"/>
          <w:sz w:val="22"/>
          <w:szCs w:val="22"/>
          <w:lang w:val="fi-FI"/>
        </w:rPr>
        <w:t>. Academia Publication.</w:t>
      </w:r>
    </w:p>
    <w:p w14:paraId="14E584D6" w14:textId="77777777" w:rsidR="005A2266" w:rsidRPr="005A2266" w:rsidRDefault="005A2266" w:rsidP="005A2266">
      <w:pPr>
        <w:spacing w:after="240"/>
        <w:ind w:left="709" w:hanging="709"/>
        <w:jc w:val="both"/>
        <w:rPr>
          <w:rFonts w:ascii="Book Antiqua" w:hAnsi="Book Antiqua"/>
          <w:sz w:val="22"/>
          <w:szCs w:val="22"/>
          <w:lang w:val="en-ID"/>
        </w:rPr>
      </w:pPr>
      <w:bookmarkStart w:id="21" w:name="Supriyanto"/>
      <w:r w:rsidRPr="005A2266">
        <w:rPr>
          <w:rFonts w:ascii="Book Antiqua" w:hAnsi="Book Antiqua"/>
          <w:sz w:val="22"/>
          <w:szCs w:val="22"/>
          <w:lang w:val="fi-FI"/>
        </w:rPr>
        <w:t>Supriyanto</w:t>
      </w:r>
      <w:bookmarkEnd w:id="21"/>
      <w:r w:rsidRPr="005A2266">
        <w:rPr>
          <w:rFonts w:ascii="Book Antiqua" w:hAnsi="Book Antiqua"/>
          <w:sz w:val="22"/>
          <w:szCs w:val="22"/>
          <w:lang w:val="fi-FI"/>
        </w:rPr>
        <w:t xml:space="preserve">. (2019). </w:t>
      </w:r>
      <w:r w:rsidRPr="005A2266">
        <w:rPr>
          <w:rFonts w:ascii="Book Antiqua" w:hAnsi="Book Antiqua"/>
          <w:i/>
          <w:iCs/>
          <w:sz w:val="22"/>
          <w:szCs w:val="22"/>
          <w:lang w:val="fi-FI"/>
        </w:rPr>
        <w:t xml:space="preserve">Peran dan Strategi Kepala PKBM (Pusat Kegiatan Belajar Masyarakat) dalam Peningkatan Mutu Pendidikan Nonformal Program Paket C (Studi Deskripsi tentang </w:t>
      </w:r>
      <w:r w:rsidRPr="005A2266">
        <w:rPr>
          <w:rFonts w:ascii="Book Antiqua" w:hAnsi="Book Antiqua"/>
          <w:i/>
          <w:iCs/>
          <w:sz w:val="22"/>
          <w:szCs w:val="22"/>
          <w:lang w:val="fi-FI"/>
        </w:rPr>
        <w:lastRenderedPageBreak/>
        <w:t>PKBM Bangun Rejo dan PKBM Citra Bangsa)</w:t>
      </w:r>
      <w:r w:rsidRPr="005A2266">
        <w:rPr>
          <w:rFonts w:ascii="Book Antiqua" w:hAnsi="Book Antiqua"/>
          <w:sz w:val="22"/>
          <w:szCs w:val="22"/>
          <w:lang w:val="fi-FI"/>
        </w:rPr>
        <w:t xml:space="preserve"> [Skripsi, Universitas Islam Negeri Sultan Aji Muhammad Idris Samarinda]. </w:t>
      </w:r>
      <w:hyperlink r:id="rId22" w:history="1">
        <w:r w:rsidRPr="005A2266">
          <w:rPr>
            <w:rStyle w:val="Hyperlink"/>
            <w:rFonts w:ascii="Book Antiqua" w:hAnsi="Book Antiqua"/>
            <w:sz w:val="22"/>
            <w:szCs w:val="22"/>
            <w:lang w:val="en-ID"/>
          </w:rPr>
          <w:t>http://repository.uinsi.ac.id/handle/123456789/1685</w:t>
        </w:r>
      </w:hyperlink>
    </w:p>
    <w:p w14:paraId="4425D3E4" w14:textId="77777777" w:rsidR="005A2266" w:rsidRPr="005A2266" w:rsidRDefault="005A2266" w:rsidP="005A2266">
      <w:pPr>
        <w:spacing w:after="240"/>
        <w:ind w:left="709" w:hanging="709"/>
        <w:jc w:val="both"/>
        <w:rPr>
          <w:rFonts w:ascii="Book Antiqua" w:hAnsi="Book Antiqua"/>
          <w:sz w:val="22"/>
          <w:szCs w:val="22"/>
          <w:lang w:val="en-ID"/>
        </w:rPr>
      </w:pPr>
      <w:bookmarkStart w:id="22" w:name="Suriansyah"/>
      <w:r w:rsidRPr="005A2266">
        <w:rPr>
          <w:rFonts w:ascii="Book Antiqua" w:hAnsi="Book Antiqua"/>
          <w:sz w:val="22"/>
          <w:szCs w:val="22"/>
          <w:lang w:val="en-ID"/>
        </w:rPr>
        <w:t>Suriansyah</w:t>
      </w:r>
      <w:bookmarkEnd w:id="22"/>
      <w:r w:rsidRPr="005A2266">
        <w:rPr>
          <w:rFonts w:ascii="Book Antiqua" w:hAnsi="Book Antiqua"/>
          <w:sz w:val="22"/>
          <w:szCs w:val="22"/>
          <w:lang w:val="en-ID"/>
        </w:rPr>
        <w:t xml:space="preserve">, A. (2017). Implementation of the Total Quality Management Model to Support Quality of Work Cultures at Primary School Teacher Education Programs in Lambung Mangkurat University Indonesia. </w:t>
      </w:r>
      <w:r w:rsidRPr="005A2266">
        <w:rPr>
          <w:rFonts w:ascii="Book Antiqua" w:hAnsi="Book Antiqua"/>
          <w:i/>
          <w:iCs/>
          <w:sz w:val="22"/>
          <w:szCs w:val="22"/>
          <w:lang w:val="en-ID"/>
        </w:rPr>
        <w:t>Australian Journal of Basic and Applied Sciences</w:t>
      </w:r>
      <w:r w:rsidRPr="005A2266">
        <w:rPr>
          <w:rFonts w:ascii="Book Antiqua" w:hAnsi="Book Antiqua"/>
          <w:sz w:val="22"/>
          <w:szCs w:val="22"/>
          <w:lang w:val="en-ID"/>
        </w:rPr>
        <w:t xml:space="preserve">, </w:t>
      </w:r>
      <w:r w:rsidRPr="005A2266">
        <w:rPr>
          <w:rFonts w:ascii="Book Antiqua" w:hAnsi="Book Antiqua"/>
          <w:i/>
          <w:iCs/>
          <w:sz w:val="22"/>
          <w:szCs w:val="22"/>
          <w:lang w:val="en-ID"/>
        </w:rPr>
        <w:t>11</w:t>
      </w:r>
      <w:r w:rsidRPr="005A2266">
        <w:rPr>
          <w:rFonts w:ascii="Book Antiqua" w:hAnsi="Book Antiqua"/>
          <w:sz w:val="22"/>
          <w:szCs w:val="22"/>
          <w:lang w:val="en-ID"/>
        </w:rPr>
        <w:t>(9), 179–186.</w:t>
      </w:r>
    </w:p>
    <w:p w14:paraId="7A3EBCF9" w14:textId="2279A3F2" w:rsidR="005A2266" w:rsidRPr="005A2266" w:rsidRDefault="005A2266" w:rsidP="005A2266">
      <w:pPr>
        <w:spacing w:after="240"/>
        <w:ind w:left="709" w:hanging="709"/>
        <w:jc w:val="both"/>
        <w:rPr>
          <w:rFonts w:ascii="Book Antiqua" w:hAnsi="Book Antiqua"/>
          <w:sz w:val="22"/>
          <w:szCs w:val="22"/>
          <w:lang w:val="en-ID"/>
        </w:rPr>
      </w:pPr>
      <w:bookmarkStart w:id="23" w:name="Suriansyah23"/>
      <w:r w:rsidRPr="005A2266">
        <w:rPr>
          <w:rFonts w:ascii="Book Antiqua" w:hAnsi="Book Antiqua"/>
          <w:sz w:val="22"/>
          <w:szCs w:val="22"/>
          <w:lang w:val="en-ID"/>
        </w:rPr>
        <w:t>Suriansyah</w:t>
      </w:r>
      <w:bookmarkEnd w:id="23"/>
      <w:r w:rsidRPr="005A2266">
        <w:rPr>
          <w:rFonts w:ascii="Book Antiqua" w:hAnsi="Book Antiqua"/>
          <w:sz w:val="22"/>
          <w:szCs w:val="22"/>
          <w:lang w:val="en-ID"/>
        </w:rPr>
        <w:t xml:space="preserve">, A., &amp; Abidin, M. (2023). Influence of Principal Management, Work Climate on Teacher Performance through Teacher Work Motivation. </w:t>
      </w:r>
      <w:r w:rsidRPr="005A2266">
        <w:rPr>
          <w:rFonts w:ascii="Book Antiqua" w:hAnsi="Book Antiqua"/>
          <w:i/>
          <w:iCs/>
          <w:sz w:val="22"/>
          <w:szCs w:val="22"/>
          <w:lang w:val="en-ID"/>
        </w:rPr>
        <w:t>International Journal of Curriculum Development, Teaching and Learning Innovation,</w:t>
      </w:r>
      <w:r w:rsidRPr="005A2266">
        <w:rPr>
          <w:rFonts w:ascii="Book Antiqua" w:hAnsi="Book Antiqua"/>
          <w:sz w:val="22"/>
          <w:szCs w:val="22"/>
          <w:lang w:val="en-ID"/>
        </w:rPr>
        <w:t xml:space="preserve"> 60–70.</w:t>
      </w:r>
    </w:p>
    <w:p w14:paraId="53E492EB" w14:textId="77777777" w:rsidR="005A2266" w:rsidRPr="005A2266" w:rsidRDefault="005A2266" w:rsidP="005A2266">
      <w:pPr>
        <w:spacing w:after="240"/>
        <w:ind w:left="709" w:hanging="709"/>
        <w:jc w:val="both"/>
        <w:rPr>
          <w:rFonts w:ascii="Book Antiqua" w:hAnsi="Book Antiqua"/>
          <w:sz w:val="22"/>
          <w:szCs w:val="22"/>
          <w:lang w:val="en-ID"/>
        </w:rPr>
      </w:pPr>
      <w:bookmarkStart w:id="24" w:name="Thohirin"/>
      <w:r w:rsidRPr="005A2266">
        <w:rPr>
          <w:rFonts w:ascii="Book Antiqua" w:hAnsi="Book Antiqua"/>
          <w:sz w:val="22"/>
          <w:szCs w:val="22"/>
          <w:lang w:val="en-ID"/>
        </w:rPr>
        <w:t>Thohirin</w:t>
      </w:r>
      <w:bookmarkEnd w:id="24"/>
      <w:r w:rsidRPr="005A2266">
        <w:rPr>
          <w:rFonts w:ascii="Book Antiqua" w:hAnsi="Book Antiqua"/>
          <w:sz w:val="22"/>
          <w:szCs w:val="22"/>
          <w:lang w:val="en-ID"/>
        </w:rPr>
        <w:t xml:space="preserve">, A., Roesminingsih, M., &amp; Handayaningrum, W. (2024). Multi-Site Study of Principal Leadership Management in Building Superior Junior High Schools. </w:t>
      </w:r>
      <w:r w:rsidRPr="005A2266">
        <w:rPr>
          <w:rFonts w:ascii="Book Antiqua" w:hAnsi="Book Antiqua"/>
          <w:i/>
          <w:iCs/>
          <w:sz w:val="22"/>
          <w:szCs w:val="22"/>
          <w:lang w:val="en-ID"/>
        </w:rPr>
        <w:t>IJORER: International Journal of Recent Educational Research</w:t>
      </w:r>
      <w:r w:rsidRPr="005A2266">
        <w:rPr>
          <w:rFonts w:ascii="Book Antiqua" w:hAnsi="Book Antiqua"/>
          <w:sz w:val="22"/>
          <w:szCs w:val="22"/>
          <w:lang w:val="en-ID"/>
        </w:rPr>
        <w:t xml:space="preserve">. </w:t>
      </w:r>
      <w:hyperlink r:id="rId23" w:history="1">
        <w:r w:rsidRPr="005A2266">
          <w:rPr>
            <w:rStyle w:val="Hyperlink"/>
            <w:rFonts w:ascii="Book Antiqua" w:hAnsi="Book Antiqua"/>
            <w:sz w:val="22"/>
            <w:szCs w:val="22"/>
            <w:lang w:val="en-ID"/>
          </w:rPr>
          <w:t>https://doi.org/10.46245/ijorer.v5i4.632</w:t>
        </w:r>
      </w:hyperlink>
    </w:p>
    <w:p w14:paraId="02E521F5" w14:textId="77777777" w:rsidR="005A2266" w:rsidRPr="005A2266" w:rsidRDefault="005A2266" w:rsidP="005A2266">
      <w:pPr>
        <w:spacing w:after="240"/>
        <w:ind w:left="709" w:hanging="709"/>
        <w:jc w:val="both"/>
        <w:rPr>
          <w:rFonts w:ascii="Book Antiqua" w:hAnsi="Book Antiqua"/>
          <w:sz w:val="22"/>
          <w:szCs w:val="22"/>
          <w:lang w:val="en-ID"/>
        </w:rPr>
      </w:pPr>
      <w:bookmarkStart w:id="25" w:name="Ugli"/>
      <w:r w:rsidRPr="005A2266">
        <w:rPr>
          <w:rFonts w:ascii="Book Antiqua" w:hAnsi="Book Antiqua"/>
          <w:sz w:val="22"/>
          <w:szCs w:val="22"/>
          <w:lang w:val="it-CH"/>
        </w:rPr>
        <w:t>Ugli</w:t>
      </w:r>
      <w:bookmarkEnd w:id="25"/>
      <w:r w:rsidRPr="005A2266">
        <w:rPr>
          <w:rFonts w:ascii="Book Antiqua" w:hAnsi="Book Antiqua"/>
          <w:sz w:val="22"/>
          <w:szCs w:val="22"/>
          <w:lang w:val="it-CH"/>
        </w:rPr>
        <w:t xml:space="preserve">, S. M. A., Ciptagustia, A., &amp; Askolani, A. (2025). </w:t>
      </w:r>
      <w:r w:rsidRPr="005A2266">
        <w:rPr>
          <w:rFonts w:ascii="Book Antiqua" w:hAnsi="Book Antiqua"/>
          <w:sz w:val="22"/>
          <w:szCs w:val="22"/>
          <w:lang w:val="en-ID"/>
        </w:rPr>
        <w:t xml:space="preserve">Adaptive Leadership in Higher Education: A Comparative Study of Academic Leaders in Indonesian and Uzbek Universities. </w:t>
      </w:r>
      <w:r w:rsidRPr="005A2266">
        <w:rPr>
          <w:rFonts w:ascii="Book Antiqua" w:hAnsi="Book Antiqua"/>
          <w:i/>
          <w:iCs/>
          <w:sz w:val="22"/>
          <w:szCs w:val="22"/>
          <w:lang w:val="en-ID"/>
        </w:rPr>
        <w:t>Jurnal MANAJERIAL</w:t>
      </w:r>
      <w:r w:rsidRPr="005A2266">
        <w:rPr>
          <w:rFonts w:ascii="Book Antiqua" w:hAnsi="Book Antiqua"/>
          <w:sz w:val="22"/>
          <w:szCs w:val="22"/>
          <w:lang w:val="en-ID"/>
        </w:rPr>
        <w:t xml:space="preserve">, </w:t>
      </w:r>
      <w:r w:rsidRPr="005A2266">
        <w:rPr>
          <w:rFonts w:ascii="Book Antiqua" w:hAnsi="Book Antiqua"/>
          <w:i/>
          <w:iCs/>
          <w:sz w:val="22"/>
          <w:szCs w:val="22"/>
          <w:lang w:val="en-ID"/>
        </w:rPr>
        <w:t>24</w:t>
      </w:r>
      <w:r w:rsidRPr="005A2266">
        <w:rPr>
          <w:rFonts w:ascii="Book Antiqua" w:hAnsi="Book Antiqua"/>
          <w:sz w:val="22"/>
          <w:szCs w:val="22"/>
          <w:lang w:val="en-ID"/>
        </w:rPr>
        <w:t>(1), 35–48.</w:t>
      </w:r>
    </w:p>
    <w:p w14:paraId="2B546CA7" w14:textId="77777777" w:rsidR="005A2266" w:rsidRPr="005A2266" w:rsidRDefault="005A2266" w:rsidP="005A2266">
      <w:pPr>
        <w:spacing w:after="240"/>
        <w:ind w:left="709" w:hanging="709"/>
        <w:jc w:val="both"/>
        <w:rPr>
          <w:rFonts w:ascii="Book Antiqua" w:hAnsi="Book Antiqua"/>
          <w:sz w:val="22"/>
          <w:szCs w:val="22"/>
          <w:lang w:val="en-ID"/>
        </w:rPr>
      </w:pPr>
      <w:bookmarkStart w:id="26" w:name="Wati"/>
      <w:r w:rsidRPr="005A2266">
        <w:rPr>
          <w:rFonts w:ascii="Book Antiqua" w:hAnsi="Book Antiqua"/>
          <w:sz w:val="22"/>
          <w:szCs w:val="22"/>
          <w:lang w:val="en-ID"/>
        </w:rPr>
        <w:t>Wati</w:t>
      </w:r>
      <w:bookmarkEnd w:id="26"/>
      <w:r w:rsidRPr="005A2266">
        <w:rPr>
          <w:rFonts w:ascii="Book Antiqua" w:hAnsi="Book Antiqua"/>
          <w:sz w:val="22"/>
          <w:szCs w:val="22"/>
          <w:lang w:val="en-ID"/>
        </w:rPr>
        <w:t xml:space="preserve">, D. R., &amp; Khotimah, K. (2023). Model Pembelajaran di PKBM Merah Putih Kecamatan Karangploso Kabupaten Malang. </w:t>
      </w:r>
      <w:r w:rsidRPr="005A2266">
        <w:rPr>
          <w:rFonts w:ascii="Book Antiqua" w:hAnsi="Book Antiqua"/>
          <w:i/>
          <w:iCs/>
          <w:sz w:val="22"/>
          <w:szCs w:val="22"/>
          <w:lang w:val="en-ID"/>
        </w:rPr>
        <w:t>Jurnal Education and Development</w:t>
      </w:r>
      <w:r w:rsidRPr="005A2266">
        <w:rPr>
          <w:rFonts w:ascii="Book Antiqua" w:hAnsi="Book Antiqua"/>
          <w:sz w:val="22"/>
          <w:szCs w:val="22"/>
          <w:lang w:val="en-ID"/>
        </w:rPr>
        <w:t xml:space="preserve">, </w:t>
      </w:r>
      <w:r w:rsidRPr="005A2266">
        <w:rPr>
          <w:rFonts w:ascii="Book Antiqua" w:hAnsi="Book Antiqua"/>
          <w:i/>
          <w:iCs/>
          <w:sz w:val="22"/>
          <w:szCs w:val="22"/>
          <w:lang w:val="en-ID"/>
        </w:rPr>
        <w:t>11</w:t>
      </w:r>
      <w:r w:rsidRPr="005A2266">
        <w:rPr>
          <w:rFonts w:ascii="Book Antiqua" w:hAnsi="Book Antiqua"/>
          <w:sz w:val="22"/>
          <w:szCs w:val="22"/>
          <w:lang w:val="en-ID"/>
        </w:rPr>
        <w:t xml:space="preserve">(3), 188–192. </w:t>
      </w:r>
      <w:hyperlink r:id="rId24" w:history="1">
        <w:r w:rsidRPr="005A2266">
          <w:rPr>
            <w:rStyle w:val="Hyperlink"/>
            <w:rFonts w:ascii="Book Antiqua" w:hAnsi="Book Antiqua"/>
            <w:sz w:val="22"/>
            <w:szCs w:val="22"/>
            <w:lang w:val="en-ID"/>
          </w:rPr>
          <w:t>https://doi.org/10.37081/ed.v11i3.5009</w:t>
        </w:r>
      </w:hyperlink>
    </w:p>
    <w:p w14:paraId="60D9026F" w14:textId="77777777" w:rsidR="005A2266" w:rsidRPr="005A2266" w:rsidRDefault="005A2266" w:rsidP="005A2266">
      <w:pPr>
        <w:spacing w:after="240"/>
        <w:ind w:left="709" w:hanging="709"/>
        <w:jc w:val="both"/>
        <w:rPr>
          <w:rFonts w:ascii="Book Antiqua" w:hAnsi="Book Antiqua"/>
          <w:sz w:val="22"/>
          <w:szCs w:val="22"/>
          <w:lang w:val="en-ID"/>
        </w:rPr>
      </w:pPr>
      <w:bookmarkStart w:id="27" w:name="Zukhruf"/>
      <w:r w:rsidRPr="005A2266">
        <w:rPr>
          <w:rFonts w:ascii="Book Antiqua" w:hAnsi="Book Antiqua"/>
          <w:sz w:val="22"/>
          <w:szCs w:val="22"/>
          <w:lang w:val="en-ID"/>
        </w:rPr>
        <w:t>Zukhruf</w:t>
      </w:r>
      <w:bookmarkEnd w:id="27"/>
      <w:r w:rsidRPr="005A2266">
        <w:rPr>
          <w:rFonts w:ascii="Book Antiqua" w:hAnsi="Book Antiqua"/>
          <w:sz w:val="22"/>
          <w:szCs w:val="22"/>
          <w:lang w:val="en-ID"/>
        </w:rPr>
        <w:t xml:space="preserve">, W. M., &amp; Azani, M. Z. (2023). Implementasi Model Kepemimpinan Situasional Kepala Sekolah di Lembaga Pendidikan Islam: Analisis Skema, Capaian dan Hambatan. </w:t>
      </w:r>
      <w:r w:rsidRPr="005A2266">
        <w:rPr>
          <w:rFonts w:ascii="Book Antiqua" w:hAnsi="Book Antiqua"/>
          <w:i/>
          <w:iCs/>
          <w:sz w:val="22"/>
          <w:szCs w:val="22"/>
          <w:lang w:val="en-ID"/>
        </w:rPr>
        <w:t>Fitrah: Journal of Islamic Education</w:t>
      </w:r>
      <w:r w:rsidRPr="005A2266">
        <w:rPr>
          <w:rFonts w:ascii="Book Antiqua" w:hAnsi="Book Antiqua"/>
          <w:sz w:val="22"/>
          <w:szCs w:val="22"/>
          <w:lang w:val="en-ID"/>
        </w:rPr>
        <w:t xml:space="preserve">, </w:t>
      </w:r>
      <w:r w:rsidRPr="005A2266">
        <w:rPr>
          <w:rFonts w:ascii="Book Antiqua" w:hAnsi="Book Antiqua"/>
          <w:i/>
          <w:iCs/>
          <w:sz w:val="22"/>
          <w:szCs w:val="22"/>
          <w:lang w:val="en-ID"/>
        </w:rPr>
        <w:t>4</w:t>
      </w:r>
      <w:r w:rsidRPr="005A2266">
        <w:rPr>
          <w:rFonts w:ascii="Book Antiqua" w:hAnsi="Book Antiqua"/>
          <w:sz w:val="22"/>
          <w:szCs w:val="22"/>
          <w:lang w:val="en-ID"/>
        </w:rPr>
        <w:t xml:space="preserve">(2), 245–256. </w:t>
      </w:r>
      <w:hyperlink r:id="rId25" w:history="1">
        <w:r w:rsidRPr="005A2266">
          <w:rPr>
            <w:rStyle w:val="Hyperlink"/>
            <w:rFonts w:ascii="Book Antiqua" w:hAnsi="Book Antiqua"/>
            <w:sz w:val="22"/>
            <w:szCs w:val="22"/>
            <w:lang w:val="en-ID"/>
          </w:rPr>
          <w:t>https://doi.org/10.53802/fitrah.v4i2.435</w:t>
        </w:r>
      </w:hyperlink>
    </w:p>
    <w:p w14:paraId="412B9603" w14:textId="77777777" w:rsidR="00820353" w:rsidRPr="00A37AEF" w:rsidRDefault="00820353" w:rsidP="00820353">
      <w:pPr>
        <w:spacing w:after="160"/>
        <w:jc w:val="both"/>
        <w:rPr>
          <w:rFonts w:ascii="Book Antiqua" w:hAnsi="Book Antiqua"/>
          <w:b/>
          <w:bCs/>
          <w:lang w:val="en-ID"/>
        </w:rPr>
      </w:pPr>
      <w:r w:rsidRPr="00A37AEF">
        <w:rPr>
          <w:rFonts w:ascii="Book Antiqua" w:hAnsi="Book Antiqua"/>
          <w:b/>
          <w:bCs/>
          <w:lang w:val="en-ID"/>
        </w:rPr>
        <w:t>Author’s Biography</w:t>
      </w:r>
    </w:p>
    <w:tbl>
      <w:tblPr>
        <w:tblW w:w="5039"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057"/>
        <w:gridCol w:w="6838"/>
      </w:tblGrid>
      <w:tr w:rsidR="00820353" w:rsidRPr="00820353" w14:paraId="70DBA492" w14:textId="77777777" w:rsidTr="00820353">
        <w:tc>
          <w:tcPr>
            <w:tcW w:w="1155" w:type="pct"/>
            <w:vAlign w:val="center"/>
          </w:tcPr>
          <w:p w14:paraId="4026CA08" w14:textId="69790211" w:rsidR="00820353" w:rsidRPr="00820353" w:rsidRDefault="00820353" w:rsidP="00820353">
            <w:pPr>
              <w:jc w:val="center"/>
              <w:rPr>
                <w:rFonts w:ascii="Book Antiqua" w:hAnsi="Book Antiqua"/>
                <w:noProof/>
                <w:sz w:val="20"/>
                <w:szCs w:val="20"/>
              </w:rPr>
            </w:pPr>
            <w:bookmarkStart w:id="28" w:name="_Hlk78354998"/>
            <w:r w:rsidRPr="00820353">
              <w:rPr>
                <w:rFonts w:ascii="Book Antiqua" w:hAnsi="Book Antiqua"/>
                <w:noProof/>
                <w:sz w:val="20"/>
                <w:szCs w:val="20"/>
              </w:rPr>
              <w:drawing>
                <wp:inline distT="0" distB="0" distL="0" distR="0" wp14:anchorId="625145B4" wp14:editId="73520A60">
                  <wp:extent cx="1061720" cy="1345775"/>
                  <wp:effectExtent l="0" t="0" r="5080" b="6985"/>
                  <wp:docPr id="1612223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23059" name="Picture 1612223059"/>
                          <pic:cNvPicPr/>
                        </pic:nvPicPr>
                        <pic:blipFill rotWithShape="1">
                          <a:blip r:embed="rId26" cstate="print">
                            <a:extLst>
                              <a:ext uri="{28A0092B-C50C-407E-A947-70E740481C1C}">
                                <a14:useLocalDpi xmlns:a14="http://schemas.microsoft.com/office/drawing/2010/main" val="0"/>
                              </a:ext>
                            </a:extLst>
                          </a:blip>
                          <a:srcRect t="4934"/>
                          <a:stretch>
                            <a:fillRect/>
                          </a:stretch>
                        </pic:blipFill>
                        <pic:spPr bwMode="auto">
                          <a:xfrm>
                            <a:off x="0" y="0"/>
                            <a:ext cx="1080295" cy="1369320"/>
                          </a:xfrm>
                          <a:prstGeom prst="rect">
                            <a:avLst/>
                          </a:prstGeom>
                          <a:ln>
                            <a:noFill/>
                          </a:ln>
                          <a:extLst>
                            <a:ext uri="{53640926-AAD7-44D8-BBD7-CCE9431645EC}">
                              <a14:shadowObscured xmlns:a14="http://schemas.microsoft.com/office/drawing/2010/main"/>
                            </a:ext>
                          </a:extLst>
                        </pic:spPr>
                      </pic:pic>
                    </a:graphicData>
                  </a:graphic>
                </wp:inline>
              </w:drawing>
            </w:r>
          </w:p>
        </w:tc>
        <w:tc>
          <w:tcPr>
            <w:tcW w:w="3845" w:type="pct"/>
          </w:tcPr>
          <w:p w14:paraId="2C2FFE55" w14:textId="5DEA297A" w:rsidR="00820353" w:rsidRDefault="00820353" w:rsidP="00386524">
            <w:pPr>
              <w:jc w:val="both"/>
              <w:rPr>
                <w:rFonts w:ascii="Book Antiqua" w:hAnsi="Book Antiqua"/>
                <w:sz w:val="20"/>
                <w:szCs w:val="20"/>
                <w:lang w:val="en-US"/>
              </w:rPr>
            </w:pPr>
            <w:r w:rsidRPr="00820353">
              <w:rPr>
                <w:rFonts w:ascii="Book Antiqua" w:hAnsi="Book Antiqua"/>
                <w:b/>
                <w:bCs/>
                <w:sz w:val="20"/>
                <w:szCs w:val="20"/>
                <w:lang w:val="en-US"/>
              </w:rPr>
              <w:t>Hendry Hermawan</w:t>
            </w:r>
            <w:r w:rsidRPr="00820353">
              <w:rPr>
                <w:rFonts w:ascii="Book Antiqua" w:hAnsi="Book Antiqua"/>
                <w:b/>
                <w:bCs/>
                <w:sz w:val="20"/>
                <w:szCs w:val="20"/>
              </w:rPr>
              <w:t xml:space="preserve"> </w:t>
            </w:r>
            <w:r w:rsidRPr="00820353">
              <w:rPr>
                <w:rFonts w:ascii="Book Antiqua" w:hAnsi="Book Antiqua"/>
                <w:noProof/>
                <w:color w:val="000000"/>
                <w:sz w:val="20"/>
                <w:szCs w:val="20"/>
                <w:lang w:val="en-US"/>
              </w:rPr>
              <w:drawing>
                <wp:inline distT="0" distB="0" distL="0" distR="0" wp14:anchorId="34917902" wp14:editId="4BDC01B7">
                  <wp:extent cx="114935" cy="114935"/>
                  <wp:effectExtent l="0" t="0" r="0" b="0"/>
                  <wp:docPr id="1021534256" name="Picture 102153425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523AA7F7" wp14:editId="2F4A8A72">
                  <wp:extent cx="114935" cy="114935"/>
                  <wp:effectExtent l="0" t="0" r="0" b="0"/>
                  <wp:docPr id="1021566760" name="Picture 102156676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59ADF77A" wp14:editId="01FBE8C7">
                  <wp:extent cx="114935" cy="114935"/>
                  <wp:effectExtent l="0" t="0" r="0" b="0"/>
                  <wp:docPr id="833547362" name="Graphic 833547362">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2" name="Graphic 32">
                            <a:hlinkClick r:id="rId31"/>
                          </pic:cNvPr>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114935" cy="114935"/>
                          </a:xfrm>
                          <a:prstGeom prst="rect">
                            <a:avLst/>
                          </a:prstGeom>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381DCB86" wp14:editId="6A15941E">
                  <wp:extent cx="114935" cy="114935"/>
                  <wp:effectExtent l="0" t="0" r="0" b="0"/>
                  <wp:docPr id="2091619547" name="Picture 209161954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He was born in Kotabaru on December 1, 1981. He is a student at Universitas Lambung Mangkurat (ULM). He completed his undergraduate (S1) degree in English Education at STKIP-PGRI Banjarmasin in 2006 and is currently pursuing a Master’s degree in Educational Administration at Universitas Lambung Mangkurat.</w:t>
            </w:r>
          </w:p>
          <w:p w14:paraId="280F5FD1" w14:textId="4D21FE92" w:rsidR="00820353" w:rsidRPr="00820353" w:rsidRDefault="00820353" w:rsidP="00386524">
            <w:pPr>
              <w:jc w:val="both"/>
              <w:rPr>
                <w:rFonts w:ascii="Book Antiqua" w:hAnsi="Book Antiqua"/>
                <w:color w:val="000000"/>
                <w:sz w:val="20"/>
                <w:szCs w:val="20"/>
              </w:rPr>
            </w:pPr>
            <w:r w:rsidRPr="00820353">
              <w:rPr>
                <w:rFonts w:ascii="Book Antiqua" w:hAnsi="Book Antiqua"/>
                <w:sz w:val="20"/>
                <w:szCs w:val="20"/>
              </w:rPr>
              <w:t xml:space="preserve">Email: </w:t>
            </w:r>
            <w:hyperlink r:id="rId36" w:history="1">
              <w:r w:rsidRPr="00820353">
                <w:rPr>
                  <w:rStyle w:val="Hyperlink"/>
                  <w:rFonts w:ascii="Book Antiqua" w:hAnsi="Book Antiqua"/>
                  <w:sz w:val="20"/>
                  <w:szCs w:val="20"/>
                  <w:lang w:val="en-US"/>
                </w:rPr>
                <w:t>hendryhermawan72@gmail.com</w:t>
              </w:r>
            </w:hyperlink>
            <w:r w:rsidRPr="00820353">
              <w:rPr>
                <w:rFonts w:ascii="Book Antiqua" w:hAnsi="Book Antiqua"/>
                <w:sz w:val="20"/>
                <w:szCs w:val="20"/>
              </w:rPr>
              <w:t xml:space="preserve"> </w:t>
            </w:r>
          </w:p>
        </w:tc>
      </w:tr>
      <w:tr w:rsidR="00820353" w:rsidRPr="00820353" w14:paraId="4A91C596" w14:textId="77777777" w:rsidTr="00386524">
        <w:tc>
          <w:tcPr>
            <w:tcW w:w="1155" w:type="pct"/>
            <w:vAlign w:val="center"/>
          </w:tcPr>
          <w:p w14:paraId="35457877" w14:textId="77777777" w:rsidR="00820353" w:rsidRPr="00820353" w:rsidRDefault="00820353" w:rsidP="00386524">
            <w:pPr>
              <w:jc w:val="center"/>
              <w:rPr>
                <w:rFonts w:ascii="Book Antiqua" w:hAnsi="Book Antiqua"/>
                <w:noProof/>
                <w:sz w:val="20"/>
                <w:szCs w:val="20"/>
              </w:rPr>
            </w:pPr>
            <w:r w:rsidRPr="00820353">
              <w:rPr>
                <w:rFonts w:ascii="Book Antiqua" w:hAnsi="Book Antiqua"/>
                <w:noProof/>
                <w:sz w:val="20"/>
                <w:szCs w:val="20"/>
              </w:rPr>
              <w:drawing>
                <wp:inline distT="0" distB="0" distL="0" distR="0" wp14:anchorId="746A9CB2" wp14:editId="390A3DBE">
                  <wp:extent cx="1169429" cy="1280160"/>
                  <wp:effectExtent l="0" t="0" r="0" b="0"/>
                  <wp:docPr id="657960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6771" r="24319" b="19688"/>
                          <a:stretch>
                            <a:fillRect/>
                          </a:stretch>
                        </pic:blipFill>
                        <pic:spPr bwMode="auto">
                          <a:xfrm>
                            <a:off x="0" y="0"/>
                            <a:ext cx="1169429" cy="12801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45" w:type="pct"/>
          </w:tcPr>
          <w:p w14:paraId="452B37C9" w14:textId="77777777" w:rsidR="00820353" w:rsidRPr="00820353" w:rsidRDefault="00820353" w:rsidP="00386524">
            <w:pPr>
              <w:jc w:val="both"/>
              <w:rPr>
                <w:rFonts w:ascii="Book Antiqua" w:hAnsi="Book Antiqua"/>
                <w:sz w:val="20"/>
                <w:szCs w:val="20"/>
              </w:rPr>
            </w:pPr>
            <w:r w:rsidRPr="00820353">
              <w:rPr>
                <w:rFonts w:ascii="Book Antiqua" w:hAnsi="Book Antiqua"/>
                <w:b/>
                <w:bCs/>
                <w:sz w:val="20"/>
                <w:szCs w:val="20"/>
                <w:lang w:val="en-US"/>
              </w:rPr>
              <w:t>Ahmad Suriansyah.</w:t>
            </w:r>
            <w:r w:rsidRPr="00820353">
              <w:rPr>
                <w:rFonts w:ascii="Book Antiqua" w:hAnsi="Book Antiqua"/>
                <w:b/>
                <w:bCs/>
                <w:sz w:val="20"/>
                <w:szCs w:val="20"/>
              </w:rPr>
              <w:t xml:space="preserve"> </w:t>
            </w:r>
            <w:r w:rsidRPr="00820353">
              <w:rPr>
                <w:rFonts w:ascii="Book Antiqua" w:hAnsi="Book Antiqua"/>
                <w:noProof/>
                <w:color w:val="000000"/>
                <w:sz w:val="20"/>
                <w:szCs w:val="20"/>
                <w:lang w:val="en-US"/>
              </w:rPr>
              <w:drawing>
                <wp:inline distT="0" distB="0" distL="0" distR="0" wp14:anchorId="58EF7D36" wp14:editId="76A35CA0">
                  <wp:extent cx="114935" cy="114935"/>
                  <wp:effectExtent l="0" t="0" r="0" b="0"/>
                  <wp:docPr id="2006581807" name="Picture 200658180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7425686C" wp14:editId="5A23F2A4">
                  <wp:extent cx="114935" cy="114935"/>
                  <wp:effectExtent l="0" t="0" r="0" b="0"/>
                  <wp:docPr id="247479074" name="Picture 247479074">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30205DB6" wp14:editId="64B7EAAD">
                  <wp:extent cx="114935" cy="114935"/>
                  <wp:effectExtent l="0" t="0" r="0" b="0"/>
                  <wp:docPr id="1828069811" name="Graphic 1828069811">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2" name="Graphic 32">
                            <a:hlinkClick r:id="rId31"/>
                          </pic:cNvPr>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114935" cy="114935"/>
                          </a:xfrm>
                          <a:prstGeom prst="rect">
                            <a:avLst/>
                          </a:prstGeom>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7EB2EDB3" wp14:editId="3155D9B9">
                  <wp:extent cx="114935" cy="114935"/>
                  <wp:effectExtent l="0" t="0" r="0" b="0"/>
                  <wp:docPr id="485418808" name="Picture 485418808">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sz w:val="20"/>
                <w:szCs w:val="20"/>
              </w:rPr>
              <w:t>He was born in Kapuas on December 25, 1959. He completed his Bachelor’s degree (S1) in Educational Administration at Universitas Lambung Mangkurat (ULM). He then pursued his Master’s degree (S2) in Educational Management at Institut Keguruan dan Ilmu Pendidikan (IKIP) Malang. Furthermore, he earned his Doctorate (S3) in Educational Management from Universiti Utara Malaysia (UUM).</w:t>
            </w:r>
          </w:p>
          <w:p w14:paraId="18994250" w14:textId="15D4136F" w:rsidR="00820353" w:rsidRPr="00055E4E" w:rsidRDefault="00820353" w:rsidP="00386524">
            <w:pPr>
              <w:jc w:val="both"/>
              <w:rPr>
                <w:rFonts w:ascii="Book Antiqua" w:hAnsi="Book Antiqua"/>
                <w:sz w:val="20"/>
                <w:szCs w:val="20"/>
              </w:rPr>
            </w:pPr>
            <w:r w:rsidRPr="00820353">
              <w:rPr>
                <w:rFonts w:ascii="Book Antiqua" w:hAnsi="Book Antiqua"/>
                <w:sz w:val="20"/>
                <w:szCs w:val="20"/>
              </w:rPr>
              <w:t xml:space="preserve">Email: </w:t>
            </w:r>
            <w:hyperlink r:id="rId38" w:history="1">
              <w:r w:rsidRPr="00820353">
                <w:rPr>
                  <w:rStyle w:val="Hyperlink"/>
                  <w:rFonts w:ascii="Book Antiqua" w:hAnsi="Book Antiqua"/>
                  <w:sz w:val="20"/>
                  <w:szCs w:val="20"/>
                  <w:lang w:val="en-US"/>
                </w:rPr>
                <w:t>a.suriansyah@ulm.ac.id</w:t>
              </w:r>
            </w:hyperlink>
            <w:r w:rsidRPr="00820353">
              <w:rPr>
                <w:rFonts w:ascii="Book Antiqua" w:hAnsi="Book Antiqua"/>
                <w:sz w:val="20"/>
                <w:szCs w:val="20"/>
              </w:rPr>
              <w:t xml:space="preserve"> </w:t>
            </w:r>
          </w:p>
        </w:tc>
      </w:tr>
      <w:tr w:rsidR="00820353" w:rsidRPr="00820353" w14:paraId="7BEDC391" w14:textId="77777777" w:rsidTr="00386524">
        <w:tc>
          <w:tcPr>
            <w:tcW w:w="1155" w:type="pct"/>
            <w:vAlign w:val="center"/>
          </w:tcPr>
          <w:p w14:paraId="5555F31E" w14:textId="77777777" w:rsidR="00820353" w:rsidRPr="00820353" w:rsidRDefault="00820353" w:rsidP="00386524">
            <w:pPr>
              <w:jc w:val="center"/>
              <w:rPr>
                <w:rFonts w:ascii="Book Antiqua" w:hAnsi="Book Antiqua"/>
                <w:noProof/>
                <w:sz w:val="20"/>
                <w:szCs w:val="20"/>
              </w:rPr>
            </w:pPr>
            <w:r w:rsidRPr="00820353">
              <w:rPr>
                <w:rFonts w:ascii="Book Antiqua" w:hAnsi="Book Antiqua"/>
                <w:noProof/>
                <w:sz w:val="20"/>
                <w:szCs w:val="20"/>
              </w:rPr>
              <w:lastRenderedPageBreak/>
              <w:drawing>
                <wp:inline distT="0" distB="0" distL="0" distR="0" wp14:anchorId="458E650D" wp14:editId="02C76B35">
                  <wp:extent cx="1152324" cy="1280160"/>
                  <wp:effectExtent l="0" t="0" r="0" b="0"/>
                  <wp:docPr id="2087005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4910" t="9553" r="12798" b="30335"/>
                          <a:stretch>
                            <a:fillRect/>
                          </a:stretch>
                        </pic:blipFill>
                        <pic:spPr bwMode="auto">
                          <a:xfrm>
                            <a:off x="0" y="0"/>
                            <a:ext cx="1152324" cy="12801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45" w:type="pct"/>
          </w:tcPr>
          <w:p w14:paraId="5D5CA7C1" w14:textId="77777777" w:rsidR="00820353" w:rsidRPr="00820353" w:rsidRDefault="00820353" w:rsidP="00386524">
            <w:pPr>
              <w:jc w:val="both"/>
              <w:rPr>
                <w:rFonts w:ascii="Book Antiqua" w:hAnsi="Book Antiqua"/>
                <w:sz w:val="20"/>
                <w:szCs w:val="20"/>
                <w:lang w:val="en-US"/>
              </w:rPr>
            </w:pPr>
            <w:r w:rsidRPr="00820353">
              <w:rPr>
                <w:rFonts w:ascii="Book Antiqua" w:hAnsi="Book Antiqua"/>
                <w:b/>
                <w:bCs/>
                <w:sz w:val="20"/>
                <w:szCs w:val="20"/>
                <w:lang w:val="en-US"/>
              </w:rPr>
              <w:t>Sulistiyana.</w:t>
            </w:r>
            <w:r w:rsidRPr="00820353">
              <w:rPr>
                <w:rFonts w:ascii="Book Antiqua" w:hAnsi="Book Antiqua"/>
                <w:b/>
                <w:bCs/>
                <w:sz w:val="20"/>
                <w:szCs w:val="20"/>
              </w:rPr>
              <w:t xml:space="preserve"> </w:t>
            </w:r>
            <w:r w:rsidRPr="00820353">
              <w:rPr>
                <w:rFonts w:ascii="Book Antiqua" w:hAnsi="Book Antiqua"/>
                <w:noProof/>
                <w:color w:val="000000"/>
                <w:sz w:val="20"/>
                <w:szCs w:val="20"/>
                <w:lang w:val="en-US"/>
              </w:rPr>
              <w:drawing>
                <wp:inline distT="0" distB="0" distL="0" distR="0" wp14:anchorId="37688EAC" wp14:editId="41361BBA">
                  <wp:extent cx="114935" cy="114935"/>
                  <wp:effectExtent l="0" t="0" r="0" b="0"/>
                  <wp:docPr id="1893029585" name="Picture 189302958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53D284BD" wp14:editId="4E3B1C27">
                  <wp:extent cx="114935" cy="114935"/>
                  <wp:effectExtent l="0" t="0" r="0" b="0"/>
                  <wp:docPr id="1990973485" name="Picture 1990973485">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4CB3E7AC" wp14:editId="2CCB93B8">
                  <wp:extent cx="114935" cy="114935"/>
                  <wp:effectExtent l="0" t="0" r="0" b="0"/>
                  <wp:docPr id="494306371" name="Graphic 494306371">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2" name="Graphic 32">
                            <a:hlinkClick r:id="rId31"/>
                          </pic:cNvPr>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114935" cy="114935"/>
                          </a:xfrm>
                          <a:prstGeom prst="rect">
                            <a:avLst/>
                          </a:prstGeom>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18EEB258" wp14:editId="183C8BCC">
                  <wp:extent cx="114935" cy="114935"/>
                  <wp:effectExtent l="0" t="0" r="0" b="0"/>
                  <wp:docPr id="1607031772" name="Picture 1607031772">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sz w:val="20"/>
                <w:szCs w:val="20"/>
              </w:rPr>
              <w:t>She was born in Banjarmasin on March 1, 1985. She is a lecturer at Universitas Lambung Mangkurat (ULM), specializing in Educational Management and Guidance and Counseling. She completed her Bachelor’s degree (S1) in Education at Universitas Lambung Mangkurat. She then earned her Master’s degree (S2) in Educational Management at the same university. Furthermore, she obtained her Doctorate (S3) in Educational Administration from Universitas Lambung Mangkurat</w:t>
            </w:r>
            <w:r w:rsidRPr="00820353">
              <w:rPr>
                <w:rFonts w:ascii="Book Antiqua" w:hAnsi="Book Antiqua"/>
                <w:sz w:val="20"/>
                <w:szCs w:val="20"/>
                <w:lang w:val="en-US"/>
              </w:rPr>
              <w:t>.</w:t>
            </w:r>
          </w:p>
          <w:p w14:paraId="469C797E" w14:textId="77777777" w:rsidR="00820353" w:rsidRPr="00820353" w:rsidRDefault="00820353" w:rsidP="00386524">
            <w:pPr>
              <w:spacing w:line="360" w:lineRule="auto"/>
              <w:jc w:val="both"/>
              <w:rPr>
                <w:rFonts w:ascii="Book Antiqua" w:hAnsi="Book Antiqua"/>
                <w:b/>
                <w:bCs/>
                <w:sz w:val="20"/>
                <w:szCs w:val="20"/>
              </w:rPr>
            </w:pPr>
            <w:r w:rsidRPr="00820353">
              <w:rPr>
                <w:rFonts w:ascii="Book Antiqua" w:hAnsi="Book Antiqua"/>
                <w:sz w:val="20"/>
                <w:szCs w:val="20"/>
              </w:rPr>
              <w:t xml:space="preserve">Email: </w:t>
            </w:r>
            <w:hyperlink r:id="rId40" w:history="1">
              <w:r w:rsidRPr="00820353">
                <w:rPr>
                  <w:rStyle w:val="Hyperlink"/>
                  <w:rFonts w:ascii="Book Antiqua" w:hAnsi="Book Antiqua"/>
                  <w:sz w:val="20"/>
                  <w:szCs w:val="20"/>
                  <w:lang w:val="en-US"/>
                </w:rPr>
                <w:t>sulis.bk@ulm.ac.id</w:t>
              </w:r>
            </w:hyperlink>
          </w:p>
        </w:tc>
      </w:tr>
      <w:tr w:rsidR="00820353" w:rsidRPr="00820353" w14:paraId="04CECC12" w14:textId="77777777" w:rsidTr="00386524">
        <w:tc>
          <w:tcPr>
            <w:tcW w:w="1155" w:type="pct"/>
          </w:tcPr>
          <w:p w14:paraId="6B7487FC" w14:textId="77777777" w:rsidR="00820353" w:rsidRPr="00820353" w:rsidRDefault="00820353" w:rsidP="00386524">
            <w:pPr>
              <w:jc w:val="center"/>
              <w:rPr>
                <w:rFonts w:ascii="Book Antiqua" w:hAnsi="Book Antiqua"/>
                <w:noProof/>
                <w:sz w:val="20"/>
                <w:szCs w:val="20"/>
              </w:rPr>
            </w:pPr>
            <w:r w:rsidRPr="00820353">
              <w:rPr>
                <w:rFonts w:ascii="Book Antiqua" w:hAnsi="Book Antiqua"/>
                <w:noProof/>
                <w:sz w:val="20"/>
                <w:szCs w:val="20"/>
              </w:rPr>
              <w:drawing>
                <wp:inline distT="0" distB="0" distL="0" distR="0" wp14:anchorId="65CBE2EE" wp14:editId="59CDABC9">
                  <wp:extent cx="973900" cy="1280160"/>
                  <wp:effectExtent l="0" t="0" r="0" b="0"/>
                  <wp:docPr id="716429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1070" t="5119" r="9297"/>
                          <a:stretch>
                            <a:fillRect/>
                          </a:stretch>
                        </pic:blipFill>
                        <pic:spPr bwMode="auto">
                          <a:xfrm>
                            <a:off x="0" y="0"/>
                            <a:ext cx="973900" cy="12801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45" w:type="pct"/>
          </w:tcPr>
          <w:p w14:paraId="7091C78E" w14:textId="77777777" w:rsidR="00820353" w:rsidRPr="00820353" w:rsidRDefault="00820353" w:rsidP="00386524">
            <w:pPr>
              <w:jc w:val="both"/>
              <w:rPr>
                <w:rFonts w:ascii="Book Antiqua" w:hAnsi="Book Antiqua"/>
                <w:sz w:val="20"/>
                <w:szCs w:val="20"/>
                <w:lang w:val="en-US"/>
              </w:rPr>
            </w:pPr>
            <w:r w:rsidRPr="00820353">
              <w:rPr>
                <w:rFonts w:ascii="Book Antiqua" w:hAnsi="Book Antiqua"/>
                <w:b/>
                <w:bCs/>
                <w:sz w:val="20"/>
                <w:szCs w:val="20"/>
                <w:lang w:val="en-US"/>
              </w:rPr>
              <w:t>Aslamiah.</w:t>
            </w:r>
            <w:r w:rsidRPr="00820353">
              <w:rPr>
                <w:rFonts w:ascii="Book Antiqua" w:hAnsi="Book Antiqua"/>
                <w:b/>
                <w:bCs/>
                <w:sz w:val="20"/>
                <w:szCs w:val="20"/>
              </w:rPr>
              <w:t xml:space="preserve"> </w:t>
            </w:r>
            <w:r w:rsidRPr="00820353">
              <w:rPr>
                <w:rFonts w:ascii="Book Antiqua" w:hAnsi="Book Antiqua"/>
                <w:noProof/>
                <w:color w:val="000000"/>
                <w:sz w:val="20"/>
                <w:szCs w:val="20"/>
                <w:lang w:val="en-US"/>
              </w:rPr>
              <w:drawing>
                <wp:inline distT="0" distB="0" distL="0" distR="0" wp14:anchorId="42442A5E" wp14:editId="4C1A24A6">
                  <wp:extent cx="114935" cy="114935"/>
                  <wp:effectExtent l="0" t="0" r="0" b="0"/>
                  <wp:docPr id="1143057292" name="Picture 114305729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21FCDF9B" wp14:editId="7D1AF4FA">
                  <wp:extent cx="114935" cy="114935"/>
                  <wp:effectExtent l="0" t="0" r="0" b="0"/>
                  <wp:docPr id="2072887308" name="Picture 207288730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0E351974" wp14:editId="261E29B8">
                  <wp:extent cx="114935" cy="114935"/>
                  <wp:effectExtent l="0" t="0" r="0" b="0"/>
                  <wp:docPr id="1831346236" name="Graphic 1831346236">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2" name="Graphic 32">
                            <a:hlinkClick r:id="rId31"/>
                          </pic:cNvPr>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114935" cy="114935"/>
                          </a:xfrm>
                          <a:prstGeom prst="rect">
                            <a:avLst/>
                          </a:prstGeom>
                        </pic:spPr>
                      </pic:pic>
                    </a:graphicData>
                  </a:graphic>
                </wp:inline>
              </w:drawing>
            </w:r>
            <w:r w:rsidRPr="00820353">
              <w:rPr>
                <w:rFonts w:ascii="Book Antiqua" w:hAnsi="Book Antiqua"/>
                <w:color w:val="000000"/>
                <w:sz w:val="20"/>
                <w:szCs w:val="20"/>
              </w:rPr>
              <w:t xml:space="preserve"> </w:t>
            </w:r>
            <w:r w:rsidRPr="00820353">
              <w:rPr>
                <w:rFonts w:ascii="Book Antiqua" w:hAnsi="Book Antiqua"/>
                <w:noProof/>
                <w:color w:val="000000"/>
                <w:sz w:val="20"/>
                <w:szCs w:val="20"/>
                <w:lang w:val="en-US"/>
              </w:rPr>
              <w:drawing>
                <wp:inline distT="0" distB="0" distL="0" distR="0" wp14:anchorId="6E33429F" wp14:editId="3F8FB23E">
                  <wp:extent cx="114935" cy="114935"/>
                  <wp:effectExtent l="0" t="0" r="0" b="0"/>
                  <wp:docPr id="311097237" name="Picture 31109723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820353">
              <w:rPr>
                <w:rFonts w:ascii="Book Antiqua" w:hAnsi="Book Antiqua"/>
                <w:color w:val="000000"/>
                <w:sz w:val="20"/>
                <w:szCs w:val="20"/>
              </w:rPr>
              <w:t xml:space="preserve">  </w:t>
            </w:r>
            <w:r w:rsidRPr="00820353">
              <w:rPr>
                <w:rFonts w:ascii="Book Antiqua" w:hAnsi="Book Antiqua"/>
                <w:sz w:val="20"/>
                <w:szCs w:val="20"/>
              </w:rPr>
              <w:t>She was born in Banjarmasin on January 10, 1960. She is a professor at Universitas Lambung Mangkurat (ULM). She completed her undergraduate studies in Educational Administration at ULM. She then earned her Master’s degree in Educational Management from Universitas Islam Nusantara (UNINUS), Bandung. Furthermore, she pursued doctoral studies in Educational Management at Universiti Utara Malaysia (UUM) and Universitas Negeri Malang (UM).</w:t>
            </w:r>
          </w:p>
          <w:p w14:paraId="23A179EA" w14:textId="77777777" w:rsidR="00820353" w:rsidRPr="00820353" w:rsidRDefault="00820353" w:rsidP="00386524">
            <w:pPr>
              <w:jc w:val="both"/>
              <w:rPr>
                <w:rFonts w:ascii="Book Antiqua" w:hAnsi="Book Antiqua"/>
                <w:b/>
                <w:bCs/>
                <w:sz w:val="20"/>
                <w:szCs w:val="20"/>
              </w:rPr>
            </w:pPr>
            <w:r w:rsidRPr="00820353">
              <w:rPr>
                <w:rFonts w:ascii="Book Antiqua" w:hAnsi="Book Antiqua"/>
                <w:sz w:val="20"/>
                <w:szCs w:val="20"/>
              </w:rPr>
              <w:t xml:space="preserve">Email: </w:t>
            </w:r>
            <w:hyperlink r:id="rId42" w:history="1">
              <w:r w:rsidRPr="00820353">
                <w:rPr>
                  <w:rStyle w:val="Hyperlink"/>
                  <w:rFonts w:ascii="Book Antiqua" w:hAnsi="Book Antiqua"/>
                  <w:sz w:val="20"/>
                  <w:szCs w:val="20"/>
                  <w:lang w:val="en-US"/>
                </w:rPr>
                <w:t>aslamiah@ulm.ac.id</w:t>
              </w:r>
            </w:hyperlink>
          </w:p>
        </w:tc>
      </w:tr>
      <w:bookmarkEnd w:id="28"/>
    </w:tbl>
    <w:p w14:paraId="5B244898" w14:textId="77777777" w:rsidR="0094275E" w:rsidRPr="005A2266" w:rsidRDefault="0094275E" w:rsidP="005A2266">
      <w:pPr>
        <w:spacing w:after="240"/>
        <w:ind w:left="709" w:hanging="709"/>
        <w:jc w:val="both"/>
        <w:rPr>
          <w:rFonts w:ascii="Book Antiqua" w:hAnsi="Book Antiqua"/>
          <w:b/>
          <w:bCs/>
          <w:sz w:val="22"/>
          <w:szCs w:val="22"/>
        </w:rPr>
      </w:pPr>
    </w:p>
    <w:p w14:paraId="1A01E42F" w14:textId="77777777" w:rsidR="0094275E" w:rsidRPr="00F55D37" w:rsidRDefault="0094275E" w:rsidP="00F55D37">
      <w:pPr>
        <w:jc w:val="both"/>
        <w:rPr>
          <w:rFonts w:ascii="Book Antiqua" w:hAnsi="Book Antiqua"/>
          <w:b/>
          <w:bCs/>
        </w:rPr>
      </w:pPr>
    </w:p>
    <w:sectPr w:rsidR="0094275E" w:rsidRPr="00F55D37" w:rsidSect="00820353">
      <w:headerReference w:type="even" r:id="rId43"/>
      <w:headerReference w:type="default" r:id="rId44"/>
      <w:footerReference w:type="even" r:id="rId45"/>
      <w:footerReference w:type="default" r:id="rId46"/>
      <w:headerReference w:type="first" r:id="rId47"/>
      <w:footerReference w:type="first" r:id="rId48"/>
      <w:pgSz w:w="11909" w:h="16834" w:code="9"/>
      <w:pgMar w:top="1843" w:right="1411" w:bottom="1843" w:left="1469" w:header="1138" w:footer="837" w:gutter="173"/>
      <w:pgNumType w:start="129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2C03A" w14:textId="77777777" w:rsidR="0005061C" w:rsidRDefault="0005061C">
      <w:r>
        <w:separator/>
      </w:r>
    </w:p>
  </w:endnote>
  <w:endnote w:type="continuationSeparator" w:id="0">
    <w:p w14:paraId="2D2BBD6A" w14:textId="77777777" w:rsidR="0005061C" w:rsidRDefault="0005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6F15" w14:textId="77777777" w:rsidR="000F0731" w:rsidRPr="00566BCE" w:rsidRDefault="00124EB7">
    <w:pPr>
      <w:pStyle w:val="Footer"/>
      <w:jc w:val="right"/>
      <w:rPr>
        <w:sz w:val="20"/>
        <w:szCs w:val="20"/>
      </w:rPr>
    </w:pPr>
    <w:r w:rsidRPr="00566BCE">
      <w:rPr>
        <w:sz w:val="20"/>
        <w:szCs w:val="20"/>
      </w:rPr>
      <w:fldChar w:fldCharType="begin"/>
    </w:r>
    <w:r w:rsidRPr="00566BCE">
      <w:rPr>
        <w:sz w:val="20"/>
        <w:szCs w:val="20"/>
      </w:rPr>
      <w:instrText xml:space="preserve"> PAGE   \* MERGEFORMAT </w:instrText>
    </w:r>
    <w:r w:rsidRPr="00566BCE">
      <w:rPr>
        <w:sz w:val="20"/>
        <w:szCs w:val="20"/>
      </w:rPr>
      <w:fldChar w:fldCharType="separate"/>
    </w:r>
    <w:r>
      <w:rPr>
        <w:noProof/>
        <w:sz w:val="20"/>
        <w:szCs w:val="20"/>
      </w:rPr>
      <w:t>62</w:t>
    </w:r>
    <w:r w:rsidRPr="00566BCE">
      <w:rPr>
        <w:noProof/>
        <w:sz w:val="20"/>
        <w:szCs w:val="20"/>
      </w:rPr>
      <w:fldChar w:fldCharType="end"/>
    </w:r>
  </w:p>
  <w:p w14:paraId="1AEF485B" w14:textId="77777777" w:rsidR="000F0731" w:rsidRPr="00566BCE" w:rsidRDefault="000F073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0DDA" w14:textId="77777777" w:rsidR="000F0731" w:rsidRPr="00F55D37" w:rsidRDefault="00124EB7">
    <w:pPr>
      <w:pStyle w:val="Footer"/>
      <w:jc w:val="right"/>
      <w:rPr>
        <w:rFonts w:ascii="Book Antiqua" w:hAnsi="Book Antiqua"/>
        <w:sz w:val="20"/>
        <w:szCs w:val="20"/>
      </w:rPr>
    </w:pPr>
    <w:r w:rsidRPr="00F55D37">
      <w:rPr>
        <w:rFonts w:ascii="Book Antiqua" w:hAnsi="Book Antiqua"/>
        <w:sz w:val="20"/>
        <w:szCs w:val="20"/>
      </w:rPr>
      <w:fldChar w:fldCharType="begin"/>
    </w:r>
    <w:r w:rsidRPr="00F55D37">
      <w:rPr>
        <w:rFonts w:ascii="Book Antiqua" w:hAnsi="Book Antiqua"/>
        <w:sz w:val="20"/>
        <w:szCs w:val="20"/>
      </w:rPr>
      <w:instrText xml:space="preserve"> PAGE   \* MERGEFORMAT </w:instrText>
    </w:r>
    <w:r w:rsidRPr="00F55D37">
      <w:rPr>
        <w:rFonts w:ascii="Book Antiqua" w:hAnsi="Book Antiqua"/>
        <w:sz w:val="20"/>
        <w:szCs w:val="20"/>
      </w:rPr>
      <w:fldChar w:fldCharType="separate"/>
    </w:r>
    <w:r w:rsidRPr="00F55D37">
      <w:rPr>
        <w:rFonts w:ascii="Book Antiqua" w:hAnsi="Book Antiqua"/>
        <w:noProof/>
        <w:sz w:val="20"/>
        <w:szCs w:val="20"/>
      </w:rPr>
      <w:t>63</w:t>
    </w:r>
    <w:r w:rsidRPr="00F55D37">
      <w:rPr>
        <w:rFonts w:ascii="Book Antiqua" w:hAnsi="Book Antiqua"/>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BAB8" w14:textId="77777777" w:rsidR="000F0731" w:rsidRPr="00F55D37" w:rsidRDefault="00124EB7">
    <w:pPr>
      <w:pStyle w:val="Footer"/>
      <w:jc w:val="center"/>
      <w:rPr>
        <w:rFonts w:ascii="Book Antiqua" w:hAnsi="Book Antiqua"/>
        <w:sz w:val="20"/>
        <w:szCs w:val="20"/>
      </w:rPr>
    </w:pPr>
    <w:r w:rsidRPr="00F55D37">
      <w:rPr>
        <w:rFonts w:ascii="Book Antiqua" w:hAnsi="Book Antiqua"/>
        <w:sz w:val="20"/>
        <w:szCs w:val="20"/>
      </w:rPr>
      <w:fldChar w:fldCharType="begin"/>
    </w:r>
    <w:r w:rsidRPr="00F55D37">
      <w:rPr>
        <w:rFonts w:ascii="Book Antiqua" w:hAnsi="Book Antiqua"/>
        <w:sz w:val="20"/>
        <w:szCs w:val="20"/>
      </w:rPr>
      <w:instrText xml:space="preserve"> PAGE   \* MERGEFORMAT </w:instrText>
    </w:r>
    <w:r w:rsidRPr="00F55D37">
      <w:rPr>
        <w:rFonts w:ascii="Book Antiqua" w:hAnsi="Book Antiqua"/>
        <w:sz w:val="20"/>
        <w:szCs w:val="20"/>
      </w:rPr>
      <w:fldChar w:fldCharType="separate"/>
    </w:r>
    <w:r w:rsidRPr="00F55D37">
      <w:rPr>
        <w:rFonts w:ascii="Book Antiqua" w:hAnsi="Book Antiqua"/>
        <w:noProof/>
        <w:sz w:val="20"/>
        <w:szCs w:val="20"/>
      </w:rPr>
      <w:t>55</w:t>
    </w:r>
    <w:r w:rsidRPr="00F55D37">
      <w:rPr>
        <w:rFonts w:ascii="Book Antiqua" w:hAnsi="Book Antiqu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B04A" w14:textId="77777777" w:rsidR="0005061C" w:rsidRDefault="0005061C">
      <w:r>
        <w:separator/>
      </w:r>
    </w:p>
  </w:footnote>
  <w:footnote w:type="continuationSeparator" w:id="0">
    <w:p w14:paraId="5300C25C" w14:textId="77777777" w:rsidR="0005061C" w:rsidRDefault="00050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24" w:space="0" w:color="auto"/>
      </w:tblBorders>
      <w:tblLook w:val="04A0" w:firstRow="1" w:lastRow="0" w:firstColumn="1" w:lastColumn="0" w:noHBand="0" w:noVBand="1"/>
    </w:tblPr>
    <w:tblGrid>
      <w:gridCol w:w="4420"/>
      <w:gridCol w:w="4436"/>
    </w:tblGrid>
    <w:tr w:rsidR="001B67A9" w:rsidRPr="004A7B48" w14:paraId="574431A3" w14:textId="77777777" w:rsidTr="004A7B48">
      <w:tc>
        <w:tcPr>
          <w:tcW w:w="4644" w:type="dxa"/>
        </w:tcPr>
        <w:p w14:paraId="74B07CF7" w14:textId="77777777" w:rsidR="000F0731" w:rsidRPr="004A7B48" w:rsidRDefault="00124EB7" w:rsidP="000B45DB">
          <w:pPr>
            <w:rPr>
              <w:rFonts w:ascii="Book Antiqua" w:hAnsi="Book Antiqua"/>
              <w:sz w:val="18"/>
              <w:szCs w:val="18"/>
              <w:lang w:val="en-US"/>
            </w:rPr>
          </w:pPr>
          <w:r w:rsidRPr="008F2CD6">
            <w:rPr>
              <w:rFonts w:ascii="Book Antiqua" w:hAnsi="Book Antiqua"/>
              <w:sz w:val="16"/>
              <w:szCs w:val="16"/>
              <w:highlight w:val="yellow"/>
              <w:lang w:val="en-US"/>
            </w:rPr>
            <w:t>Author Name…</w:t>
          </w:r>
        </w:p>
      </w:tc>
      <w:tc>
        <w:tcPr>
          <w:tcW w:w="4644" w:type="dxa"/>
        </w:tcPr>
        <w:p w14:paraId="31B71242" w14:textId="77777777" w:rsidR="000F0731" w:rsidRPr="004A7B48" w:rsidRDefault="00124EB7" w:rsidP="004A7B48">
          <w:pPr>
            <w:jc w:val="right"/>
            <w:rPr>
              <w:rFonts w:ascii="Book Antiqua" w:hAnsi="Book Antiqua"/>
              <w:i/>
              <w:iCs/>
              <w:sz w:val="18"/>
              <w:szCs w:val="18"/>
              <w:lang w:val="en-US"/>
            </w:rPr>
          </w:pPr>
          <w:r w:rsidRPr="004A7B48">
            <w:rPr>
              <w:rFonts w:ascii="Book Antiqua" w:hAnsi="Book Antiqua"/>
              <w:i/>
              <w:iCs/>
              <w:sz w:val="18"/>
              <w:szCs w:val="18"/>
              <w:lang w:val="en-US"/>
            </w:rPr>
            <w:t xml:space="preserve">Educational Reseach in Indonesia (Edunesia) </w:t>
          </w:r>
        </w:p>
      </w:tc>
    </w:tr>
    <w:tr w:rsidR="001B67A9" w:rsidRPr="004A7B48" w14:paraId="0FA42EBE" w14:textId="77777777" w:rsidTr="004A7B48">
      <w:tc>
        <w:tcPr>
          <w:tcW w:w="4644" w:type="dxa"/>
        </w:tcPr>
        <w:p w14:paraId="6E3114E0" w14:textId="77777777" w:rsidR="000F0731" w:rsidRPr="004A7B48" w:rsidRDefault="000F0731" w:rsidP="00887EEC">
          <w:pPr>
            <w:rPr>
              <w:rFonts w:ascii="Book Antiqua" w:hAnsi="Book Antiqua"/>
              <w:i/>
              <w:iCs/>
              <w:sz w:val="18"/>
              <w:szCs w:val="18"/>
              <w:lang w:val="en-US"/>
            </w:rPr>
          </w:pPr>
        </w:p>
      </w:tc>
      <w:tc>
        <w:tcPr>
          <w:tcW w:w="4644" w:type="dxa"/>
        </w:tcPr>
        <w:p w14:paraId="6BFACD55" w14:textId="77777777" w:rsidR="000F0731" w:rsidRPr="004A7B48" w:rsidRDefault="000F0731" w:rsidP="004A7B48">
          <w:pPr>
            <w:jc w:val="right"/>
            <w:rPr>
              <w:rFonts w:ascii="Book Antiqua" w:hAnsi="Book Antiqua"/>
              <w:i/>
              <w:iCs/>
              <w:sz w:val="18"/>
              <w:szCs w:val="18"/>
              <w:lang w:val="en-US"/>
            </w:rPr>
          </w:pPr>
        </w:p>
      </w:tc>
    </w:tr>
  </w:tbl>
  <w:p w14:paraId="28A1E20D" w14:textId="77777777" w:rsidR="000F0731" w:rsidRPr="000B45DB" w:rsidRDefault="000F0731" w:rsidP="00887EEC">
    <w:pPr>
      <w:pStyle w:val="Header"/>
      <w:rPr>
        <w:sz w:val="16"/>
        <w:szCs w:val="16"/>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2"/>
      <w:tblW w:w="8910" w:type="dxa"/>
      <w:tblBorders>
        <w:insideH w:val="single" w:sz="24" w:space="0" w:color="000000"/>
      </w:tblBorders>
      <w:tblLayout w:type="fixed"/>
      <w:tblLook w:val="0400" w:firstRow="0" w:lastRow="0" w:firstColumn="0" w:lastColumn="0" w:noHBand="0" w:noVBand="1"/>
    </w:tblPr>
    <w:tblGrid>
      <w:gridCol w:w="4680"/>
      <w:gridCol w:w="4230"/>
    </w:tblGrid>
    <w:tr w:rsidR="00F55D37" w:rsidRPr="00E6442F" w14:paraId="10050C6C" w14:textId="77777777" w:rsidTr="00820353">
      <w:tc>
        <w:tcPr>
          <w:tcW w:w="4680" w:type="dxa"/>
        </w:tcPr>
        <w:p w14:paraId="47643176" w14:textId="7B90BDCF" w:rsidR="00F55D37" w:rsidRPr="00CE54E3" w:rsidRDefault="00F55D37" w:rsidP="00F55D37">
          <w:pPr>
            <w:rPr>
              <w:rFonts w:ascii="Book Antiqua" w:eastAsia="Book Antiqua" w:hAnsi="Book Antiqua" w:cs="Book Antiqua"/>
              <w:sz w:val="16"/>
              <w:szCs w:val="16"/>
              <w:lang w:val="fi-FI" w:eastAsia="en-ID"/>
            </w:rPr>
          </w:pPr>
          <w:r w:rsidRPr="00F55D37">
            <w:rPr>
              <w:rFonts w:ascii="Book Antiqua" w:eastAsia="Book Antiqua" w:hAnsi="Book Antiqua"/>
              <w:color w:val="000000" w:themeColor="text1"/>
              <w:sz w:val="16"/>
              <w:szCs w:val="16"/>
            </w:rPr>
            <w:t>Hermawan, H., Suriansyah, A., Sulistiyana,</w:t>
          </w:r>
          <w:r>
            <w:rPr>
              <w:rFonts w:ascii="Book Antiqua" w:eastAsia="Book Antiqua" w:hAnsi="Book Antiqua"/>
              <w:color w:val="000000" w:themeColor="text1"/>
              <w:sz w:val="16"/>
              <w:szCs w:val="16"/>
            </w:rPr>
            <w:t xml:space="preserve"> S.,</w:t>
          </w:r>
          <w:r w:rsidRPr="00F55D37">
            <w:rPr>
              <w:rFonts w:ascii="Book Antiqua" w:eastAsia="Book Antiqua" w:hAnsi="Book Antiqua"/>
              <w:color w:val="000000" w:themeColor="text1"/>
              <w:sz w:val="16"/>
              <w:szCs w:val="16"/>
            </w:rPr>
            <w:t xml:space="preserve"> &amp; Aslamiah</w:t>
          </w:r>
          <w:r>
            <w:rPr>
              <w:rFonts w:ascii="Book Antiqua" w:eastAsia="Book Antiqua" w:hAnsi="Book Antiqua"/>
              <w:color w:val="000000" w:themeColor="text1"/>
              <w:sz w:val="16"/>
              <w:szCs w:val="16"/>
            </w:rPr>
            <w:t>, A</w:t>
          </w:r>
          <w:r w:rsidRPr="00934698">
            <w:rPr>
              <w:rFonts w:ascii="Book Antiqua" w:eastAsia="Book Antiqua" w:hAnsi="Book Antiqua"/>
              <w:color w:val="000000" w:themeColor="text1"/>
              <w:sz w:val="16"/>
              <w:szCs w:val="16"/>
            </w:rPr>
            <w:t>.</w:t>
          </w:r>
        </w:p>
      </w:tc>
      <w:tc>
        <w:tcPr>
          <w:tcW w:w="4230" w:type="dxa"/>
        </w:tcPr>
        <w:p w14:paraId="69CA46A5" w14:textId="77777777" w:rsidR="00F55D37" w:rsidRPr="00E6442F" w:rsidRDefault="00F55D37" w:rsidP="00F55D37">
          <w:pPr>
            <w:jc w:val="right"/>
            <w:rPr>
              <w:rFonts w:ascii="Book Antiqua" w:eastAsia="Book Antiqua" w:hAnsi="Book Antiqua" w:cs="Book Antiqua"/>
              <w:i/>
              <w:sz w:val="18"/>
              <w:szCs w:val="18"/>
              <w:lang w:eastAsia="en-ID"/>
            </w:rPr>
          </w:pPr>
          <w:r w:rsidRPr="00E6442F">
            <w:rPr>
              <w:rFonts w:ascii="Book Antiqua" w:eastAsia="Book Antiqua" w:hAnsi="Book Antiqua" w:cs="Book Antiqua"/>
              <w:i/>
              <w:sz w:val="18"/>
              <w:szCs w:val="18"/>
              <w:lang w:eastAsia="en-ID"/>
            </w:rPr>
            <w:t xml:space="preserve">Educational Research in Indonesia </w:t>
          </w:r>
          <w:r w:rsidRPr="00E6442F">
            <w:rPr>
              <w:rFonts w:ascii="Book Antiqua" w:eastAsia="Book Antiqua" w:hAnsi="Book Antiqua" w:cs="Book Antiqua"/>
              <w:i/>
              <w:color w:val="000000"/>
              <w:sz w:val="18"/>
              <w:szCs w:val="18"/>
              <w:lang w:eastAsia="en-ID"/>
            </w:rPr>
            <w:t>(</w:t>
          </w:r>
          <w:r w:rsidRPr="00E6442F">
            <w:rPr>
              <w:rFonts w:ascii="Book Antiqua" w:eastAsia="Book Antiqua" w:hAnsi="Book Antiqua" w:cs="Book Antiqua"/>
              <w:i/>
              <w:sz w:val="18"/>
              <w:szCs w:val="18"/>
              <w:lang w:eastAsia="en-ID"/>
            </w:rPr>
            <w:t xml:space="preserve">Edunesia) </w:t>
          </w:r>
        </w:p>
      </w:tc>
    </w:tr>
    <w:tr w:rsidR="00F55D37" w:rsidRPr="00E6442F" w14:paraId="3BD7014D" w14:textId="77777777" w:rsidTr="00820353">
      <w:trPr>
        <w:trHeight w:val="250"/>
      </w:trPr>
      <w:tc>
        <w:tcPr>
          <w:tcW w:w="4680" w:type="dxa"/>
        </w:tcPr>
        <w:p w14:paraId="2CBA54F7" w14:textId="77777777" w:rsidR="00F55D37" w:rsidRPr="00E6442F" w:rsidRDefault="00F55D37" w:rsidP="00F55D37">
          <w:pPr>
            <w:rPr>
              <w:rFonts w:ascii="Book Antiqua" w:eastAsia="Book Antiqua" w:hAnsi="Book Antiqua" w:cs="Book Antiqua"/>
              <w:i/>
              <w:sz w:val="16"/>
              <w:szCs w:val="16"/>
              <w:lang w:eastAsia="en-ID"/>
            </w:rPr>
          </w:pPr>
        </w:p>
      </w:tc>
      <w:tc>
        <w:tcPr>
          <w:tcW w:w="4230" w:type="dxa"/>
        </w:tcPr>
        <w:p w14:paraId="035A5762" w14:textId="65AF8E0C" w:rsidR="00F55D37" w:rsidRPr="00E6442F" w:rsidRDefault="00820353" w:rsidP="00F55D37">
          <w:pPr>
            <w:jc w:val="right"/>
            <w:rPr>
              <w:rFonts w:ascii="Book Antiqua" w:eastAsia="Book Antiqua" w:hAnsi="Book Antiqua" w:cs="Book Antiqua"/>
              <w:sz w:val="18"/>
              <w:szCs w:val="18"/>
              <w:lang w:eastAsia="en-ID"/>
            </w:rPr>
          </w:pPr>
          <w:r w:rsidRPr="00E6442F">
            <w:rPr>
              <w:rFonts w:ascii="Book Antiqua" w:hAnsi="Book Antiqua"/>
              <w:noProof/>
              <w:lang w:eastAsia="en-ID"/>
            </w:rPr>
            <w:drawing>
              <wp:anchor distT="0" distB="0" distL="114300" distR="114300" simplePos="0" relativeHeight="251659264" behindDoc="0" locked="0" layoutInCell="1" allowOverlap="1" wp14:anchorId="05F697E1" wp14:editId="5A8B18D6">
                <wp:simplePos x="0" y="0"/>
                <wp:positionH relativeFrom="column">
                  <wp:posOffset>285750</wp:posOffset>
                </wp:positionH>
                <wp:positionV relativeFrom="paragraph">
                  <wp:posOffset>7620</wp:posOffset>
                </wp:positionV>
                <wp:extent cx="182880" cy="182880"/>
                <wp:effectExtent l="0" t="0" r="7620" b="7620"/>
                <wp:wrapNone/>
                <wp:docPr id="166082347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87432" name="image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00F55D37" w:rsidRPr="005C4298">
              <w:rPr>
                <w:rStyle w:val="Hyperlink"/>
                <w:rFonts w:ascii="Book Antiqua" w:eastAsia="Book Antiqua" w:hAnsi="Book Antiqua" w:cs="Book Antiqua"/>
                <w:sz w:val="18"/>
                <w:szCs w:val="18"/>
                <w:lang w:eastAsia="en-ID"/>
              </w:rPr>
              <w:t>https://doi.org/10.51276/edu.v7i2.1720</w:t>
            </w:r>
          </w:hyperlink>
        </w:p>
      </w:tc>
    </w:tr>
  </w:tbl>
  <w:p w14:paraId="3F48D44A" w14:textId="77777777" w:rsidR="000F0731" w:rsidRPr="00F55D37" w:rsidRDefault="000F0731" w:rsidP="00F55D37">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24" w:space="0" w:color="auto"/>
      </w:tblBorders>
      <w:tblLook w:val="04A0" w:firstRow="1" w:lastRow="0" w:firstColumn="1" w:lastColumn="0" w:noHBand="0" w:noVBand="1"/>
    </w:tblPr>
    <w:tblGrid>
      <w:gridCol w:w="4429"/>
      <w:gridCol w:w="4427"/>
    </w:tblGrid>
    <w:tr w:rsidR="00F55D37" w:rsidRPr="00AD76C0" w14:paraId="54739B5A" w14:textId="77777777" w:rsidTr="004769EC">
      <w:tc>
        <w:tcPr>
          <w:tcW w:w="4644" w:type="dxa"/>
        </w:tcPr>
        <w:p w14:paraId="64F72881" w14:textId="77777777" w:rsidR="00F55D37" w:rsidRPr="00AD76C0" w:rsidRDefault="00F55D37" w:rsidP="00F55D37">
          <w:pPr>
            <w:spacing w:line="276" w:lineRule="auto"/>
            <w:jc w:val="both"/>
            <w:rPr>
              <w:rFonts w:ascii="Book Antiqua" w:hAnsi="Book Antiqua"/>
              <w:sz w:val="18"/>
              <w:szCs w:val="18"/>
              <w:lang w:val="id" w:eastAsia="en-ID"/>
            </w:rPr>
          </w:pPr>
          <w:r w:rsidRPr="00AD76C0">
            <w:rPr>
              <w:rFonts w:ascii="Book Antiqua" w:hAnsi="Book Antiqua"/>
              <w:sz w:val="18"/>
              <w:szCs w:val="18"/>
              <w:lang w:val="id" w:eastAsia="en-ID"/>
            </w:rPr>
            <w:t>Edunesia : Jurnal Ilmiah Pendidikan</w:t>
          </w:r>
        </w:p>
      </w:tc>
      <w:tc>
        <w:tcPr>
          <w:tcW w:w="4644" w:type="dxa"/>
        </w:tcPr>
        <w:p w14:paraId="78D9BEA4" w14:textId="77777777" w:rsidR="00F55D37" w:rsidRPr="00AD76C0" w:rsidRDefault="00F55D37" w:rsidP="00F55D37">
          <w:pPr>
            <w:tabs>
              <w:tab w:val="left" w:pos="735"/>
              <w:tab w:val="right" w:pos="4198"/>
            </w:tabs>
            <w:spacing w:line="276" w:lineRule="auto"/>
            <w:jc w:val="right"/>
            <w:rPr>
              <w:rFonts w:ascii="Book Antiqua" w:hAnsi="Book Antiqua"/>
              <w:i/>
              <w:iCs/>
              <w:sz w:val="18"/>
              <w:szCs w:val="18"/>
              <w:lang w:val="id" w:eastAsia="en-ID"/>
            </w:rPr>
          </w:pPr>
          <w:r w:rsidRPr="00AD76C0">
            <w:rPr>
              <w:rFonts w:ascii="Book Antiqua" w:hAnsi="Book Antiqua"/>
              <w:i/>
              <w:iCs/>
              <w:sz w:val="18"/>
              <w:szCs w:val="18"/>
              <w:lang w:val="id" w:eastAsia="en-ID"/>
            </w:rPr>
            <w:tab/>
            <w:t xml:space="preserve">p-ISSN 2722-5194 </w:t>
          </w:r>
        </w:p>
      </w:tc>
    </w:tr>
    <w:tr w:rsidR="00F55D37" w:rsidRPr="00AD76C0" w14:paraId="31AE10EA" w14:textId="77777777" w:rsidTr="004769EC">
      <w:tc>
        <w:tcPr>
          <w:tcW w:w="4644" w:type="dxa"/>
        </w:tcPr>
        <w:p w14:paraId="721BBC9C" w14:textId="77777777" w:rsidR="00F55D37" w:rsidRPr="00AD76C0" w:rsidRDefault="00F55D37" w:rsidP="00F55D37">
          <w:pPr>
            <w:spacing w:line="276" w:lineRule="auto"/>
            <w:jc w:val="both"/>
            <w:rPr>
              <w:rFonts w:ascii="Book Antiqua" w:hAnsi="Book Antiqua"/>
              <w:i/>
              <w:iCs/>
              <w:sz w:val="18"/>
              <w:szCs w:val="18"/>
              <w:lang w:val="id" w:eastAsia="en-ID"/>
            </w:rPr>
          </w:pPr>
          <w:r w:rsidRPr="00AD76C0">
            <w:rPr>
              <w:rFonts w:ascii="Book Antiqua" w:hAnsi="Book Antiqua"/>
              <w:i/>
              <w:iCs/>
              <w:sz w:val="18"/>
              <w:szCs w:val="18"/>
              <w:lang w:val="id" w:eastAsia="en-ID"/>
            </w:rPr>
            <w:t>Vol 7 No 2 June 2026</w:t>
          </w:r>
        </w:p>
      </w:tc>
      <w:tc>
        <w:tcPr>
          <w:tcW w:w="4644" w:type="dxa"/>
        </w:tcPr>
        <w:p w14:paraId="2D1FA29C" w14:textId="77777777" w:rsidR="00F55D37" w:rsidRPr="00AD76C0" w:rsidRDefault="00F55D37" w:rsidP="00F55D37">
          <w:pPr>
            <w:spacing w:line="276" w:lineRule="auto"/>
            <w:jc w:val="right"/>
            <w:rPr>
              <w:rFonts w:ascii="Book Antiqua" w:hAnsi="Book Antiqua"/>
              <w:i/>
              <w:iCs/>
              <w:sz w:val="18"/>
              <w:szCs w:val="18"/>
              <w:lang w:val="id" w:eastAsia="en-ID"/>
            </w:rPr>
          </w:pPr>
          <w:r w:rsidRPr="00AD76C0">
            <w:rPr>
              <w:rFonts w:ascii="Book Antiqua" w:hAnsi="Book Antiqua"/>
              <w:i/>
              <w:iCs/>
              <w:sz w:val="18"/>
              <w:szCs w:val="18"/>
              <w:lang w:val="id" w:eastAsia="en-ID"/>
            </w:rPr>
            <w:t>e-ISSN 2722-7790</w:t>
          </w:r>
        </w:p>
      </w:tc>
    </w:tr>
  </w:tbl>
  <w:p w14:paraId="60A184DD" w14:textId="77777777" w:rsidR="000F0731" w:rsidRPr="00F55D37" w:rsidRDefault="000F0731" w:rsidP="00F55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E96F5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768pt;visibility:visible;mso-wrap-style:square" o:bullet="t">
        <v:imagedata r:id="rId1" o:title=""/>
      </v:shape>
    </w:pict>
  </w:numPicBullet>
  <w:abstractNum w:abstractNumId="0" w15:restartNumberingAfterBreak="0">
    <w:nsid w:val="03366E16"/>
    <w:multiLevelType w:val="hybridMultilevel"/>
    <w:tmpl w:val="CBD66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B022C"/>
    <w:multiLevelType w:val="multilevel"/>
    <w:tmpl w:val="E0C0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53ECD"/>
    <w:multiLevelType w:val="hybridMultilevel"/>
    <w:tmpl w:val="854AE2F2"/>
    <w:lvl w:ilvl="0" w:tplc="6804CE44">
      <w:start w:val="1"/>
      <w:numFmt w:val="lowerLetter"/>
      <w:lvlText w:val="%1."/>
      <w:lvlJc w:val="left"/>
      <w:pPr>
        <w:ind w:left="720" w:hanging="360"/>
      </w:pPr>
      <w:rPr>
        <w:rFonts w:cs="Times New Roman" w:hint="default"/>
        <w:b/>
        <w:color w:val="1A1A1A"/>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487440B"/>
    <w:multiLevelType w:val="hybridMultilevel"/>
    <w:tmpl w:val="2D381BA2"/>
    <w:lvl w:ilvl="0" w:tplc="479ECC88">
      <w:numFmt w:val="bullet"/>
      <w:lvlText w:val="-"/>
      <w:lvlJc w:val="left"/>
      <w:pPr>
        <w:ind w:left="720" w:hanging="360"/>
      </w:pPr>
      <w:rPr>
        <w:rFonts w:ascii="Book Antiqua" w:eastAsia="Times New Roman" w:hAnsi="Book Antiqu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D1316"/>
    <w:multiLevelType w:val="hybridMultilevel"/>
    <w:tmpl w:val="F27E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F257D"/>
    <w:multiLevelType w:val="hybridMultilevel"/>
    <w:tmpl w:val="A998D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275BE7"/>
    <w:multiLevelType w:val="hybridMultilevel"/>
    <w:tmpl w:val="0A20F0D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99B7F00"/>
    <w:multiLevelType w:val="multilevel"/>
    <w:tmpl w:val="DF56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455206"/>
    <w:multiLevelType w:val="hybridMultilevel"/>
    <w:tmpl w:val="E0F835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48239FE"/>
    <w:multiLevelType w:val="hybridMultilevel"/>
    <w:tmpl w:val="06DA5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AE3F85"/>
    <w:multiLevelType w:val="multilevel"/>
    <w:tmpl w:val="28CA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AC0A24"/>
    <w:multiLevelType w:val="hybridMultilevel"/>
    <w:tmpl w:val="7400C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4029848">
    <w:abstractNumId w:val="8"/>
  </w:num>
  <w:num w:numId="2" w16cid:durableId="24912213">
    <w:abstractNumId w:val="2"/>
  </w:num>
  <w:num w:numId="3" w16cid:durableId="2102024331">
    <w:abstractNumId w:val="6"/>
  </w:num>
  <w:num w:numId="4" w16cid:durableId="716510994">
    <w:abstractNumId w:val="9"/>
  </w:num>
  <w:num w:numId="5" w16cid:durableId="1635132994">
    <w:abstractNumId w:val="5"/>
  </w:num>
  <w:num w:numId="6" w16cid:durableId="2039088046">
    <w:abstractNumId w:val="4"/>
  </w:num>
  <w:num w:numId="7" w16cid:durableId="392041501">
    <w:abstractNumId w:val="0"/>
  </w:num>
  <w:num w:numId="8" w16cid:durableId="575626773">
    <w:abstractNumId w:val="3"/>
  </w:num>
  <w:num w:numId="9" w16cid:durableId="2002544245">
    <w:abstractNumId w:val="11"/>
  </w:num>
  <w:num w:numId="10" w16cid:durableId="1667249491">
    <w:abstractNumId w:val="1"/>
  </w:num>
  <w:num w:numId="11" w16cid:durableId="538981974">
    <w:abstractNumId w:val="10"/>
  </w:num>
  <w:num w:numId="12" w16cid:durableId="30424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EB7"/>
    <w:rsid w:val="00002D31"/>
    <w:rsid w:val="00014016"/>
    <w:rsid w:val="0003069F"/>
    <w:rsid w:val="00033B0B"/>
    <w:rsid w:val="0005061C"/>
    <w:rsid w:val="00055E4E"/>
    <w:rsid w:val="00057978"/>
    <w:rsid w:val="00057ACA"/>
    <w:rsid w:val="00075234"/>
    <w:rsid w:val="000752EB"/>
    <w:rsid w:val="00085686"/>
    <w:rsid w:val="000A1966"/>
    <w:rsid w:val="000A1A70"/>
    <w:rsid w:val="000A4B25"/>
    <w:rsid w:val="000F0731"/>
    <w:rsid w:val="000F7E0F"/>
    <w:rsid w:val="00124EB7"/>
    <w:rsid w:val="00137225"/>
    <w:rsid w:val="001646B0"/>
    <w:rsid w:val="0018680E"/>
    <w:rsid w:val="00192A25"/>
    <w:rsid w:val="001A4114"/>
    <w:rsid w:val="001A6A50"/>
    <w:rsid w:val="001D3A5C"/>
    <w:rsid w:val="001F09BD"/>
    <w:rsid w:val="0020543A"/>
    <w:rsid w:val="002245BA"/>
    <w:rsid w:val="00226B92"/>
    <w:rsid w:val="00232AC9"/>
    <w:rsid w:val="00263138"/>
    <w:rsid w:val="00263678"/>
    <w:rsid w:val="002866F5"/>
    <w:rsid w:val="00287D2B"/>
    <w:rsid w:val="00295A05"/>
    <w:rsid w:val="002C75D2"/>
    <w:rsid w:val="002E1F33"/>
    <w:rsid w:val="0033441B"/>
    <w:rsid w:val="003603E0"/>
    <w:rsid w:val="00363245"/>
    <w:rsid w:val="00383170"/>
    <w:rsid w:val="00385131"/>
    <w:rsid w:val="003F0892"/>
    <w:rsid w:val="004065D2"/>
    <w:rsid w:val="0042108C"/>
    <w:rsid w:val="0044109D"/>
    <w:rsid w:val="00443BBB"/>
    <w:rsid w:val="00476681"/>
    <w:rsid w:val="00477BB8"/>
    <w:rsid w:val="004B092C"/>
    <w:rsid w:val="004B555E"/>
    <w:rsid w:val="004D2499"/>
    <w:rsid w:val="004E04F8"/>
    <w:rsid w:val="004E6E69"/>
    <w:rsid w:val="00505B93"/>
    <w:rsid w:val="005071BC"/>
    <w:rsid w:val="00516850"/>
    <w:rsid w:val="00531106"/>
    <w:rsid w:val="00533550"/>
    <w:rsid w:val="00540C6E"/>
    <w:rsid w:val="00561C8A"/>
    <w:rsid w:val="00563EB0"/>
    <w:rsid w:val="00573B95"/>
    <w:rsid w:val="005A2266"/>
    <w:rsid w:val="005B4567"/>
    <w:rsid w:val="005B5B2B"/>
    <w:rsid w:val="005F019B"/>
    <w:rsid w:val="00603305"/>
    <w:rsid w:val="0060330A"/>
    <w:rsid w:val="0064125F"/>
    <w:rsid w:val="00643D0B"/>
    <w:rsid w:val="006577C9"/>
    <w:rsid w:val="00662D96"/>
    <w:rsid w:val="00674838"/>
    <w:rsid w:val="006903BF"/>
    <w:rsid w:val="00697622"/>
    <w:rsid w:val="006A25B7"/>
    <w:rsid w:val="006C4F24"/>
    <w:rsid w:val="006C5BF5"/>
    <w:rsid w:val="006D3BE4"/>
    <w:rsid w:val="006E1DB5"/>
    <w:rsid w:val="006E7754"/>
    <w:rsid w:val="00700D8D"/>
    <w:rsid w:val="007174DF"/>
    <w:rsid w:val="00725879"/>
    <w:rsid w:val="00742AF7"/>
    <w:rsid w:val="00761C30"/>
    <w:rsid w:val="00770B5C"/>
    <w:rsid w:val="007A796E"/>
    <w:rsid w:val="007B5740"/>
    <w:rsid w:val="007C4CF9"/>
    <w:rsid w:val="007D4C0A"/>
    <w:rsid w:val="007E3249"/>
    <w:rsid w:val="007E4BDE"/>
    <w:rsid w:val="007F4348"/>
    <w:rsid w:val="007F7117"/>
    <w:rsid w:val="007F7747"/>
    <w:rsid w:val="008031DA"/>
    <w:rsid w:val="00820353"/>
    <w:rsid w:val="00831EE7"/>
    <w:rsid w:val="00836049"/>
    <w:rsid w:val="008416BA"/>
    <w:rsid w:val="0085290F"/>
    <w:rsid w:val="00871775"/>
    <w:rsid w:val="00874ED4"/>
    <w:rsid w:val="00880DC1"/>
    <w:rsid w:val="008937AC"/>
    <w:rsid w:val="008B03F9"/>
    <w:rsid w:val="008B0424"/>
    <w:rsid w:val="008B1C4E"/>
    <w:rsid w:val="008B2CFB"/>
    <w:rsid w:val="009053A5"/>
    <w:rsid w:val="009170F3"/>
    <w:rsid w:val="00917D04"/>
    <w:rsid w:val="00923CA9"/>
    <w:rsid w:val="00925A90"/>
    <w:rsid w:val="00930019"/>
    <w:rsid w:val="00931A00"/>
    <w:rsid w:val="0094091C"/>
    <w:rsid w:val="00940AD4"/>
    <w:rsid w:val="0094275E"/>
    <w:rsid w:val="009460B8"/>
    <w:rsid w:val="009B210B"/>
    <w:rsid w:val="009B77BA"/>
    <w:rsid w:val="009E7C16"/>
    <w:rsid w:val="009F0B7C"/>
    <w:rsid w:val="009F1AF6"/>
    <w:rsid w:val="00A10EB4"/>
    <w:rsid w:val="00A23E1C"/>
    <w:rsid w:val="00A23F7A"/>
    <w:rsid w:val="00A37B23"/>
    <w:rsid w:val="00A4485D"/>
    <w:rsid w:val="00A540C6"/>
    <w:rsid w:val="00A77323"/>
    <w:rsid w:val="00A853BA"/>
    <w:rsid w:val="00AB1B50"/>
    <w:rsid w:val="00AB7115"/>
    <w:rsid w:val="00B307AE"/>
    <w:rsid w:val="00B30C81"/>
    <w:rsid w:val="00B37D87"/>
    <w:rsid w:val="00BF0929"/>
    <w:rsid w:val="00C007B4"/>
    <w:rsid w:val="00C01541"/>
    <w:rsid w:val="00C05B96"/>
    <w:rsid w:val="00C12334"/>
    <w:rsid w:val="00C14B69"/>
    <w:rsid w:val="00C2491B"/>
    <w:rsid w:val="00C87481"/>
    <w:rsid w:val="00CA2D78"/>
    <w:rsid w:val="00CB359E"/>
    <w:rsid w:val="00CE1473"/>
    <w:rsid w:val="00CE5742"/>
    <w:rsid w:val="00CE7367"/>
    <w:rsid w:val="00D00978"/>
    <w:rsid w:val="00D01D95"/>
    <w:rsid w:val="00D3660D"/>
    <w:rsid w:val="00D40EAD"/>
    <w:rsid w:val="00D4295E"/>
    <w:rsid w:val="00D730AE"/>
    <w:rsid w:val="00D77150"/>
    <w:rsid w:val="00D83513"/>
    <w:rsid w:val="00D85677"/>
    <w:rsid w:val="00DB7534"/>
    <w:rsid w:val="00DC1D1C"/>
    <w:rsid w:val="00DC3CAE"/>
    <w:rsid w:val="00DE2B21"/>
    <w:rsid w:val="00E17B43"/>
    <w:rsid w:val="00E4778E"/>
    <w:rsid w:val="00E84A74"/>
    <w:rsid w:val="00E92B42"/>
    <w:rsid w:val="00E932A6"/>
    <w:rsid w:val="00E95BA3"/>
    <w:rsid w:val="00EB4BCA"/>
    <w:rsid w:val="00EB5C96"/>
    <w:rsid w:val="00EB6DF1"/>
    <w:rsid w:val="00ED6151"/>
    <w:rsid w:val="00EE33B6"/>
    <w:rsid w:val="00EF6FB7"/>
    <w:rsid w:val="00F46CB2"/>
    <w:rsid w:val="00F55D37"/>
    <w:rsid w:val="00F6460C"/>
    <w:rsid w:val="00F84A63"/>
    <w:rsid w:val="00FA203D"/>
    <w:rsid w:val="00FB52AB"/>
    <w:rsid w:val="00FC33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A745A"/>
  <w15:chartTrackingRefBased/>
  <w15:docId w15:val="{9B5AB80E-4119-40F8-AA2E-BCD546C4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EB7"/>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124EB7"/>
    <w:pPr>
      <w:tabs>
        <w:tab w:val="center" w:pos="4320"/>
        <w:tab w:val="right" w:pos="8640"/>
      </w:tabs>
    </w:pPr>
    <w:rPr>
      <w:lang w:val="en-US"/>
    </w:rPr>
  </w:style>
  <w:style w:type="character" w:customStyle="1" w:styleId="HeaderChar">
    <w:name w:val="Header Char"/>
    <w:basedOn w:val="DefaultParagraphFont"/>
    <w:link w:val="Header"/>
    <w:uiPriority w:val="99"/>
    <w:qFormat/>
    <w:rsid w:val="00124EB7"/>
    <w:rPr>
      <w:rFonts w:ascii="Times New Roman" w:eastAsia="Times New Roman" w:hAnsi="Times New Roman" w:cs="Times New Roman"/>
      <w:sz w:val="24"/>
      <w:szCs w:val="24"/>
    </w:rPr>
  </w:style>
  <w:style w:type="paragraph" w:styleId="Footer">
    <w:name w:val="footer"/>
    <w:basedOn w:val="Normal"/>
    <w:link w:val="FooterChar"/>
    <w:uiPriority w:val="99"/>
    <w:rsid w:val="00124EB7"/>
    <w:pPr>
      <w:tabs>
        <w:tab w:val="center" w:pos="4320"/>
        <w:tab w:val="right" w:pos="8640"/>
      </w:tabs>
    </w:pPr>
    <w:rPr>
      <w:lang w:eastAsia="id-ID"/>
    </w:rPr>
  </w:style>
  <w:style w:type="character" w:customStyle="1" w:styleId="FooterChar">
    <w:name w:val="Footer Char"/>
    <w:basedOn w:val="DefaultParagraphFont"/>
    <w:link w:val="Footer"/>
    <w:uiPriority w:val="99"/>
    <w:rsid w:val="00124EB7"/>
    <w:rPr>
      <w:rFonts w:ascii="Times New Roman" w:eastAsia="Times New Roman" w:hAnsi="Times New Roman" w:cs="Times New Roman"/>
      <w:sz w:val="24"/>
      <w:szCs w:val="24"/>
      <w:lang w:val="id-ID" w:eastAsia="id-ID"/>
    </w:rPr>
  </w:style>
  <w:style w:type="paragraph" w:styleId="ListParagraph">
    <w:name w:val="List Paragraph"/>
    <w:aliases w:val="List Paragraph 1,Body of text,List Paragraph1,Body of text+1,Body of text+2,Body of text+3,List Paragraph11,subbab,paragraf 1,Medium Grid 1 - Accent 21,1List N,Colorful List - Accent 11,HEADING 1,Heading 31,Heading 32,Heading 321,anak bab"/>
    <w:basedOn w:val="Normal"/>
    <w:link w:val="ListParagraphChar"/>
    <w:uiPriority w:val="34"/>
    <w:qFormat/>
    <w:rsid w:val="00124EB7"/>
    <w:pPr>
      <w:spacing w:after="200" w:line="276" w:lineRule="auto"/>
      <w:ind w:left="720"/>
    </w:pPr>
    <w:rPr>
      <w:rFonts w:ascii="Calibri" w:hAnsi="Calibri" w:cs="Calibri"/>
      <w:sz w:val="22"/>
      <w:szCs w:val="22"/>
    </w:rPr>
  </w:style>
  <w:style w:type="character" w:styleId="Hyperlink">
    <w:name w:val="Hyperlink"/>
    <w:basedOn w:val="DefaultParagraphFont"/>
    <w:uiPriority w:val="99"/>
    <w:rsid w:val="00124EB7"/>
    <w:rPr>
      <w:rFonts w:cs="Times New Roman"/>
      <w:color w:val="0000FF"/>
      <w:u w:val="single"/>
    </w:rPr>
  </w:style>
  <w:style w:type="paragraph" w:styleId="HTMLPreformatted">
    <w:name w:val="HTML Preformatted"/>
    <w:basedOn w:val="Normal"/>
    <w:link w:val="HTMLPreformattedChar"/>
    <w:uiPriority w:val="99"/>
    <w:unhideWhenUsed/>
    <w:rsid w:val="00124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basedOn w:val="DefaultParagraphFont"/>
    <w:link w:val="HTMLPreformatted"/>
    <w:uiPriority w:val="99"/>
    <w:rsid w:val="00124EB7"/>
    <w:rPr>
      <w:rFonts w:ascii="Courier New" w:eastAsia="Times New Roman" w:hAnsi="Courier New" w:cs="Times New Roman"/>
      <w:sz w:val="20"/>
      <w:szCs w:val="20"/>
      <w:lang w:val="id-ID" w:eastAsia="id-ID"/>
    </w:rPr>
  </w:style>
  <w:style w:type="paragraph" w:styleId="BodyText">
    <w:name w:val="Body Text"/>
    <w:basedOn w:val="Normal"/>
    <w:link w:val="BodyTextChar"/>
    <w:unhideWhenUsed/>
    <w:rsid w:val="00124EB7"/>
    <w:pPr>
      <w:jc w:val="both"/>
    </w:pPr>
    <w:rPr>
      <w:szCs w:val="20"/>
      <w:lang w:eastAsia="id-ID"/>
    </w:rPr>
  </w:style>
  <w:style w:type="character" w:customStyle="1" w:styleId="BodyTextChar">
    <w:name w:val="Body Text Char"/>
    <w:basedOn w:val="DefaultParagraphFont"/>
    <w:link w:val="BodyText"/>
    <w:rsid w:val="00124EB7"/>
    <w:rPr>
      <w:rFonts w:ascii="Times New Roman" w:eastAsia="Times New Roman" w:hAnsi="Times New Roman" w:cs="Times New Roman"/>
      <w:sz w:val="24"/>
      <w:szCs w:val="20"/>
      <w:lang w:val="id-ID" w:eastAsia="id-ID"/>
    </w:rPr>
  </w:style>
  <w:style w:type="paragraph" w:customStyle="1" w:styleId="Text">
    <w:name w:val="Text"/>
    <w:basedOn w:val="Normal"/>
    <w:rsid w:val="00124EB7"/>
    <w:pPr>
      <w:tabs>
        <w:tab w:val="right" w:pos="7200"/>
      </w:tabs>
      <w:spacing w:line="260" w:lineRule="exact"/>
      <w:jc w:val="both"/>
    </w:pPr>
    <w:rPr>
      <w:sz w:val="20"/>
      <w:lang w:val="en-US"/>
    </w:rPr>
  </w:style>
  <w:style w:type="character" w:customStyle="1" w:styleId="ListParagraphChar">
    <w:name w:val="List Paragraph Char"/>
    <w:aliases w:val="List Paragraph 1 Char,Body of text Char,List Paragraph1 Char,Body of text+1 Char,Body of text+2 Char,Body of text+3 Char,List Paragraph11 Char,subbab Char,paragraf 1 Char,Medium Grid 1 - Accent 21 Char,1List N Char,HEADING 1 Char"/>
    <w:link w:val="ListParagraph"/>
    <w:uiPriority w:val="34"/>
    <w:qFormat/>
    <w:rsid w:val="00124EB7"/>
    <w:rPr>
      <w:rFonts w:ascii="Calibri" w:eastAsia="Times New Roman" w:hAnsi="Calibri" w:cs="Calibri"/>
      <w:lang w:val="id-ID"/>
    </w:rPr>
  </w:style>
  <w:style w:type="character" w:customStyle="1" w:styleId="value">
    <w:name w:val="value"/>
    <w:basedOn w:val="DefaultParagraphFont"/>
    <w:rsid w:val="007F7747"/>
  </w:style>
  <w:style w:type="character" w:styleId="UnresolvedMention">
    <w:name w:val="Unresolved Mention"/>
    <w:basedOn w:val="DefaultParagraphFont"/>
    <w:uiPriority w:val="99"/>
    <w:semiHidden/>
    <w:unhideWhenUsed/>
    <w:rsid w:val="007F7747"/>
    <w:rPr>
      <w:color w:val="605E5C"/>
      <w:shd w:val="clear" w:color="auto" w:fill="E1DFDD"/>
    </w:rPr>
  </w:style>
  <w:style w:type="character" w:customStyle="1" w:styleId="y2iqfc">
    <w:name w:val="y2iqfc"/>
    <w:basedOn w:val="DefaultParagraphFont"/>
    <w:rsid w:val="00880DC1"/>
  </w:style>
  <w:style w:type="character" w:styleId="CommentReference">
    <w:name w:val="annotation reference"/>
    <w:basedOn w:val="DefaultParagraphFont"/>
    <w:uiPriority w:val="99"/>
    <w:semiHidden/>
    <w:unhideWhenUsed/>
    <w:rsid w:val="00263138"/>
    <w:rPr>
      <w:sz w:val="16"/>
      <w:szCs w:val="16"/>
    </w:rPr>
  </w:style>
  <w:style w:type="paragraph" w:styleId="CommentText">
    <w:name w:val="annotation text"/>
    <w:basedOn w:val="Normal"/>
    <w:link w:val="CommentTextChar"/>
    <w:uiPriority w:val="99"/>
    <w:unhideWhenUsed/>
    <w:rsid w:val="00263138"/>
    <w:rPr>
      <w:sz w:val="20"/>
      <w:szCs w:val="20"/>
    </w:rPr>
  </w:style>
  <w:style w:type="character" w:customStyle="1" w:styleId="CommentTextChar">
    <w:name w:val="Comment Text Char"/>
    <w:basedOn w:val="DefaultParagraphFont"/>
    <w:link w:val="CommentText"/>
    <w:uiPriority w:val="99"/>
    <w:rsid w:val="00263138"/>
    <w:rPr>
      <w:rFonts w:ascii="Times New Roman" w:eastAsia="Times New Roman" w:hAnsi="Times New Roman"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263138"/>
    <w:rPr>
      <w:b/>
      <w:bCs/>
    </w:rPr>
  </w:style>
  <w:style w:type="character" w:customStyle="1" w:styleId="CommentSubjectChar">
    <w:name w:val="Comment Subject Char"/>
    <w:basedOn w:val="CommentTextChar"/>
    <w:link w:val="CommentSubject"/>
    <w:uiPriority w:val="99"/>
    <w:semiHidden/>
    <w:rsid w:val="00263138"/>
    <w:rPr>
      <w:rFonts w:ascii="Times New Roman" w:eastAsia="Times New Roman" w:hAnsi="Times New Roman" w:cs="Times New Roman"/>
      <w:b/>
      <w:bCs/>
      <w:sz w:val="20"/>
      <w:szCs w:val="20"/>
      <w:lang w:val="id-ID"/>
    </w:rPr>
  </w:style>
  <w:style w:type="paragraph" w:styleId="Revision">
    <w:name w:val="Revision"/>
    <w:hidden/>
    <w:uiPriority w:val="99"/>
    <w:semiHidden/>
    <w:rsid w:val="00263138"/>
    <w:pPr>
      <w:spacing w:after="0" w:line="240" w:lineRule="auto"/>
    </w:pPr>
    <w:rPr>
      <w:rFonts w:ascii="Times New Roman" w:eastAsia="Times New Roman" w:hAnsi="Times New Roman" w:cs="Times New Roman"/>
      <w:sz w:val="24"/>
      <w:szCs w:val="24"/>
      <w:lang w:val="id-ID"/>
    </w:rPr>
  </w:style>
  <w:style w:type="character" w:customStyle="1" w:styleId="ng-star-inserted">
    <w:name w:val="ng-star-inserted"/>
    <w:basedOn w:val="DefaultParagraphFont"/>
    <w:rsid w:val="00263138"/>
  </w:style>
  <w:style w:type="paragraph" w:styleId="NormalWeb">
    <w:name w:val="Normal (Web)"/>
    <w:basedOn w:val="Normal"/>
    <w:uiPriority w:val="99"/>
    <w:semiHidden/>
    <w:unhideWhenUsed/>
    <w:rsid w:val="00C01541"/>
  </w:style>
  <w:style w:type="table" w:customStyle="1" w:styleId="Table12">
    <w:name w:val="Table12"/>
    <w:basedOn w:val="TableNormal"/>
    <w:rsid w:val="00F55D37"/>
    <w:pPr>
      <w:spacing w:after="0" w:line="240" w:lineRule="auto"/>
    </w:pPr>
    <w:rPr>
      <w:rFonts w:ascii="Times New Roman" w:eastAsia="Times New Roman" w:hAnsi="Times New Roman" w:cs="Times New Roman"/>
      <w:sz w:val="24"/>
      <w:szCs w:val="24"/>
      <w:lang w:val="id"/>
    </w:rPr>
    <w:tblPr>
      <w:tblStyleRowBandSize w:val="1"/>
      <w:tblStyleColBandSize w:val="1"/>
      <w:tblCellMar>
        <w:left w:w="115" w:type="dxa"/>
        <w:right w:w="115" w:type="dxa"/>
      </w:tblCellMar>
    </w:tblPr>
  </w:style>
  <w:style w:type="table" w:styleId="TableGrid">
    <w:name w:val="Table Grid"/>
    <w:basedOn w:val="TableNormal"/>
    <w:uiPriority w:val="39"/>
    <w:rsid w:val="00F55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5265">
      <w:bodyDiv w:val="1"/>
      <w:marLeft w:val="0"/>
      <w:marRight w:val="0"/>
      <w:marTop w:val="0"/>
      <w:marBottom w:val="0"/>
      <w:divBdr>
        <w:top w:val="none" w:sz="0" w:space="0" w:color="auto"/>
        <w:left w:val="none" w:sz="0" w:space="0" w:color="auto"/>
        <w:bottom w:val="none" w:sz="0" w:space="0" w:color="auto"/>
        <w:right w:val="none" w:sz="0" w:space="0" w:color="auto"/>
      </w:divBdr>
    </w:div>
    <w:div w:id="98840260">
      <w:bodyDiv w:val="1"/>
      <w:marLeft w:val="0"/>
      <w:marRight w:val="0"/>
      <w:marTop w:val="0"/>
      <w:marBottom w:val="0"/>
      <w:divBdr>
        <w:top w:val="none" w:sz="0" w:space="0" w:color="auto"/>
        <w:left w:val="none" w:sz="0" w:space="0" w:color="auto"/>
        <w:bottom w:val="none" w:sz="0" w:space="0" w:color="auto"/>
        <w:right w:val="none" w:sz="0" w:space="0" w:color="auto"/>
      </w:divBdr>
      <w:divsChild>
        <w:div w:id="2060667409">
          <w:marLeft w:val="0"/>
          <w:marRight w:val="0"/>
          <w:marTop w:val="0"/>
          <w:marBottom w:val="0"/>
          <w:divBdr>
            <w:top w:val="none" w:sz="0" w:space="0" w:color="auto"/>
            <w:left w:val="none" w:sz="0" w:space="0" w:color="auto"/>
            <w:bottom w:val="none" w:sz="0" w:space="0" w:color="auto"/>
            <w:right w:val="none" w:sz="0" w:space="0" w:color="auto"/>
          </w:divBdr>
          <w:divsChild>
            <w:div w:id="747724927">
              <w:marLeft w:val="0"/>
              <w:marRight w:val="0"/>
              <w:marTop w:val="0"/>
              <w:marBottom w:val="0"/>
              <w:divBdr>
                <w:top w:val="none" w:sz="0" w:space="0" w:color="auto"/>
                <w:left w:val="none" w:sz="0" w:space="0" w:color="auto"/>
                <w:bottom w:val="none" w:sz="0" w:space="0" w:color="auto"/>
                <w:right w:val="none" w:sz="0" w:space="0" w:color="auto"/>
              </w:divBdr>
              <w:divsChild>
                <w:div w:id="414130580">
                  <w:marLeft w:val="0"/>
                  <w:marRight w:val="0"/>
                  <w:marTop w:val="0"/>
                  <w:marBottom w:val="0"/>
                  <w:divBdr>
                    <w:top w:val="none" w:sz="0" w:space="0" w:color="auto"/>
                    <w:left w:val="none" w:sz="0" w:space="0" w:color="auto"/>
                    <w:bottom w:val="none" w:sz="0" w:space="0" w:color="auto"/>
                    <w:right w:val="none" w:sz="0" w:space="0" w:color="auto"/>
                  </w:divBdr>
                  <w:divsChild>
                    <w:div w:id="6080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9190">
      <w:bodyDiv w:val="1"/>
      <w:marLeft w:val="0"/>
      <w:marRight w:val="0"/>
      <w:marTop w:val="0"/>
      <w:marBottom w:val="0"/>
      <w:divBdr>
        <w:top w:val="none" w:sz="0" w:space="0" w:color="auto"/>
        <w:left w:val="none" w:sz="0" w:space="0" w:color="auto"/>
        <w:bottom w:val="none" w:sz="0" w:space="0" w:color="auto"/>
        <w:right w:val="none" w:sz="0" w:space="0" w:color="auto"/>
      </w:divBdr>
      <w:divsChild>
        <w:div w:id="485629090">
          <w:marLeft w:val="0"/>
          <w:marRight w:val="0"/>
          <w:marTop w:val="0"/>
          <w:marBottom w:val="0"/>
          <w:divBdr>
            <w:top w:val="none" w:sz="0" w:space="0" w:color="auto"/>
            <w:left w:val="none" w:sz="0" w:space="0" w:color="auto"/>
            <w:bottom w:val="none" w:sz="0" w:space="0" w:color="auto"/>
            <w:right w:val="none" w:sz="0" w:space="0" w:color="auto"/>
          </w:divBdr>
        </w:div>
      </w:divsChild>
    </w:div>
    <w:div w:id="132256133">
      <w:bodyDiv w:val="1"/>
      <w:marLeft w:val="0"/>
      <w:marRight w:val="0"/>
      <w:marTop w:val="0"/>
      <w:marBottom w:val="0"/>
      <w:divBdr>
        <w:top w:val="none" w:sz="0" w:space="0" w:color="auto"/>
        <w:left w:val="none" w:sz="0" w:space="0" w:color="auto"/>
        <w:bottom w:val="none" w:sz="0" w:space="0" w:color="auto"/>
        <w:right w:val="none" w:sz="0" w:space="0" w:color="auto"/>
      </w:divBdr>
    </w:div>
    <w:div w:id="223414521">
      <w:bodyDiv w:val="1"/>
      <w:marLeft w:val="0"/>
      <w:marRight w:val="0"/>
      <w:marTop w:val="0"/>
      <w:marBottom w:val="0"/>
      <w:divBdr>
        <w:top w:val="none" w:sz="0" w:space="0" w:color="auto"/>
        <w:left w:val="none" w:sz="0" w:space="0" w:color="auto"/>
        <w:bottom w:val="none" w:sz="0" w:space="0" w:color="auto"/>
        <w:right w:val="none" w:sz="0" w:space="0" w:color="auto"/>
      </w:divBdr>
    </w:div>
    <w:div w:id="229466486">
      <w:bodyDiv w:val="1"/>
      <w:marLeft w:val="0"/>
      <w:marRight w:val="0"/>
      <w:marTop w:val="0"/>
      <w:marBottom w:val="0"/>
      <w:divBdr>
        <w:top w:val="none" w:sz="0" w:space="0" w:color="auto"/>
        <w:left w:val="none" w:sz="0" w:space="0" w:color="auto"/>
        <w:bottom w:val="none" w:sz="0" w:space="0" w:color="auto"/>
        <w:right w:val="none" w:sz="0" w:space="0" w:color="auto"/>
      </w:divBdr>
    </w:div>
    <w:div w:id="359476930">
      <w:bodyDiv w:val="1"/>
      <w:marLeft w:val="0"/>
      <w:marRight w:val="0"/>
      <w:marTop w:val="0"/>
      <w:marBottom w:val="0"/>
      <w:divBdr>
        <w:top w:val="none" w:sz="0" w:space="0" w:color="auto"/>
        <w:left w:val="none" w:sz="0" w:space="0" w:color="auto"/>
        <w:bottom w:val="none" w:sz="0" w:space="0" w:color="auto"/>
        <w:right w:val="none" w:sz="0" w:space="0" w:color="auto"/>
      </w:divBdr>
    </w:div>
    <w:div w:id="408114135">
      <w:bodyDiv w:val="1"/>
      <w:marLeft w:val="0"/>
      <w:marRight w:val="0"/>
      <w:marTop w:val="0"/>
      <w:marBottom w:val="0"/>
      <w:divBdr>
        <w:top w:val="none" w:sz="0" w:space="0" w:color="auto"/>
        <w:left w:val="none" w:sz="0" w:space="0" w:color="auto"/>
        <w:bottom w:val="none" w:sz="0" w:space="0" w:color="auto"/>
        <w:right w:val="none" w:sz="0" w:space="0" w:color="auto"/>
      </w:divBdr>
    </w:div>
    <w:div w:id="586619345">
      <w:bodyDiv w:val="1"/>
      <w:marLeft w:val="0"/>
      <w:marRight w:val="0"/>
      <w:marTop w:val="0"/>
      <w:marBottom w:val="0"/>
      <w:divBdr>
        <w:top w:val="none" w:sz="0" w:space="0" w:color="auto"/>
        <w:left w:val="none" w:sz="0" w:space="0" w:color="auto"/>
        <w:bottom w:val="none" w:sz="0" w:space="0" w:color="auto"/>
        <w:right w:val="none" w:sz="0" w:space="0" w:color="auto"/>
      </w:divBdr>
      <w:divsChild>
        <w:div w:id="1491750872">
          <w:marLeft w:val="0"/>
          <w:marRight w:val="0"/>
          <w:marTop w:val="0"/>
          <w:marBottom w:val="0"/>
          <w:divBdr>
            <w:top w:val="none" w:sz="0" w:space="0" w:color="auto"/>
            <w:left w:val="none" w:sz="0" w:space="0" w:color="auto"/>
            <w:bottom w:val="none" w:sz="0" w:space="0" w:color="auto"/>
            <w:right w:val="none" w:sz="0" w:space="0" w:color="auto"/>
          </w:divBdr>
          <w:divsChild>
            <w:div w:id="907376921">
              <w:marLeft w:val="0"/>
              <w:marRight w:val="0"/>
              <w:marTop w:val="0"/>
              <w:marBottom w:val="0"/>
              <w:divBdr>
                <w:top w:val="none" w:sz="0" w:space="0" w:color="auto"/>
                <w:left w:val="none" w:sz="0" w:space="0" w:color="auto"/>
                <w:bottom w:val="none" w:sz="0" w:space="0" w:color="auto"/>
                <w:right w:val="none" w:sz="0" w:space="0" w:color="auto"/>
              </w:divBdr>
              <w:divsChild>
                <w:div w:id="2022853555">
                  <w:marLeft w:val="0"/>
                  <w:marRight w:val="0"/>
                  <w:marTop w:val="0"/>
                  <w:marBottom w:val="0"/>
                  <w:divBdr>
                    <w:top w:val="none" w:sz="0" w:space="0" w:color="auto"/>
                    <w:left w:val="none" w:sz="0" w:space="0" w:color="auto"/>
                    <w:bottom w:val="none" w:sz="0" w:space="0" w:color="auto"/>
                    <w:right w:val="none" w:sz="0" w:space="0" w:color="auto"/>
                  </w:divBdr>
                  <w:divsChild>
                    <w:div w:id="14033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10325">
      <w:bodyDiv w:val="1"/>
      <w:marLeft w:val="0"/>
      <w:marRight w:val="0"/>
      <w:marTop w:val="0"/>
      <w:marBottom w:val="0"/>
      <w:divBdr>
        <w:top w:val="none" w:sz="0" w:space="0" w:color="auto"/>
        <w:left w:val="none" w:sz="0" w:space="0" w:color="auto"/>
        <w:bottom w:val="none" w:sz="0" w:space="0" w:color="auto"/>
        <w:right w:val="none" w:sz="0" w:space="0" w:color="auto"/>
      </w:divBdr>
    </w:div>
    <w:div w:id="740635392">
      <w:bodyDiv w:val="1"/>
      <w:marLeft w:val="0"/>
      <w:marRight w:val="0"/>
      <w:marTop w:val="0"/>
      <w:marBottom w:val="0"/>
      <w:divBdr>
        <w:top w:val="none" w:sz="0" w:space="0" w:color="auto"/>
        <w:left w:val="none" w:sz="0" w:space="0" w:color="auto"/>
        <w:bottom w:val="none" w:sz="0" w:space="0" w:color="auto"/>
        <w:right w:val="none" w:sz="0" w:space="0" w:color="auto"/>
      </w:divBdr>
    </w:div>
    <w:div w:id="753890976">
      <w:bodyDiv w:val="1"/>
      <w:marLeft w:val="0"/>
      <w:marRight w:val="0"/>
      <w:marTop w:val="0"/>
      <w:marBottom w:val="0"/>
      <w:divBdr>
        <w:top w:val="none" w:sz="0" w:space="0" w:color="auto"/>
        <w:left w:val="none" w:sz="0" w:space="0" w:color="auto"/>
        <w:bottom w:val="none" w:sz="0" w:space="0" w:color="auto"/>
        <w:right w:val="none" w:sz="0" w:space="0" w:color="auto"/>
      </w:divBdr>
    </w:div>
    <w:div w:id="1045563754">
      <w:bodyDiv w:val="1"/>
      <w:marLeft w:val="0"/>
      <w:marRight w:val="0"/>
      <w:marTop w:val="0"/>
      <w:marBottom w:val="0"/>
      <w:divBdr>
        <w:top w:val="none" w:sz="0" w:space="0" w:color="auto"/>
        <w:left w:val="none" w:sz="0" w:space="0" w:color="auto"/>
        <w:bottom w:val="none" w:sz="0" w:space="0" w:color="auto"/>
        <w:right w:val="none" w:sz="0" w:space="0" w:color="auto"/>
      </w:divBdr>
    </w:div>
    <w:div w:id="1057630471">
      <w:bodyDiv w:val="1"/>
      <w:marLeft w:val="0"/>
      <w:marRight w:val="0"/>
      <w:marTop w:val="0"/>
      <w:marBottom w:val="0"/>
      <w:divBdr>
        <w:top w:val="none" w:sz="0" w:space="0" w:color="auto"/>
        <w:left w:val="none" w:sz="0" w:space="0" w:color="auto"/>
        <w:bottom w:val="none" w:sz="0" w:space="0" w:color="auto"/>
        <w:right w:val="none" w:sz="0" w:space="0" w:color="auto"/>
      </w:divBdr>
    </w:div>
    <w:div w:id="1071806988">
      <w:bodyDiv w:val="1"/>
      <w:marLeft w:val="0"/>
      <w:marRight w:val="0"/>
      <w:marTop w:val="0"/>
      <w:marBottom w:val="0"/>
      <w:divBdr>
        <w:top w:val="none" w:sz="0" w:space="0" w:color="auto"/>
        <w:left w:val="none" w:sz="0" w:space="0" w:color="auto"/>
        <w:bottom w:val="none" w:sz="0" w:space="0" w:color="auto"/>
        <w:right w:val="none" w:sz="0" w:space="0" w:color="auto"/>
      </w:divBdr>
    </w:div>
    <w:div w:id="1134059748">
      <w:bodyDiv w:val="1"/>
      <w:marLeft w:val="0"/>
      <w:marRight w:val="0"/>
      <w:marTop w:val="0"/>
      <w:marBottom w:val="0"/>
      <w:divBdr>
        <w:top w:val="none" w:sz="0" w:space="0" w:color="auto"/>
        <w:left w:val="none" w:sz="0" w:space="0" w:color="auto"/>
        <w:bottom w:val="none" w:sz="0" w:space="0" w:color="auto"/>
        <w:right w:val="none" w:sz="0" w:space="0" w:color="auto"/>
      </w:divBdr>
    </w:div>
    <w:div w:id="1146050993">
      <w:bodyDiv w:val="1"/>
      <w:marLeft w:val="0"/>
      <w:marRight w:val="0"/>
      <w:marTop w:val="0"/>
      <w:marBottom w:val="0"/>
      <w:divBdr>
        <w:top w:val="none" w:sz="0" w:space="0" w:color="auto"/>
        <w:left w:val="none" w:sz="0" w:space="0" w:color="auto"/>
        <w:bottom w:val="none" w:sz="0" w:space="0" w:color="auto"/>
        <w:right w:val="none" w:sz="0" w:space="0" w:color="auto"/>
      </w:divBdr>
    </w:div>
    <w:div w:id="1216621151">
      <w:bodyDiv w:val="1"/>
      <w:marLeft w:val="0"/>
      <w:marRight w:val="0"/>
      <w:marTop w:val="0"/>
      <w:marBottom w:val="0"/>
      <w:divBdr>
        <w:top w:val="none" w:sz="0" w:space="0" w:color="auto"/>
        <w:left w:val="none" w:sz="0" w:space="0" w:color="auto"/>
        <w:bottom w:val="none" w:sz="0" w:space="0" w:color="auto"/>
        <w:right w:val="none" w:sz="0" w:space="0" w:color="auto"/>
      </w:divBdr>
      <w:divsChild>
        <w:div w:id="1500197573">
          <w:marLeft w:val="0"/>
          <w:marRight w:val="0"/>
          <w:marTop w:val="0"/>
          <w:marBottom w:val="0"/>
          <w:divBdr>
            <w:top w:val="none" w:sz="0" w:space="0" w:color="auto"/>
            <w:left w:val="none" w:sz="0" w:space="0" w:color="auto"/>
            <w:bottom w:val="none" w:sz="0" w:space="0" w:color="auto"/>
            <w:right w:val="none" w:sz="0" w:space="0" w:color="auto"/>
          </w:divBdr>
          <w:divsChild>
            <w:div w:id="1263999584">
              <w:marLeft w:val="0"/>
              <w:marRight w:val="0"/>
              <w:marTop w:val="0"/>
              <w:marBottom w:val="0"/>
              <w:divBdr>
                <w:top w:val="none" w:sz="0" w:space="0" w:color="auto"/>
                <w:left w:val="none" w:sz="0" w:space="0" w:color="auto"/>
                <w:bottom w:val="none" w:sz="0" w:space="0" w:color="auto"/>
                <w:right w:val="none" w:sz="0" w:space="0" w:color="auto"/>
              </w:divBdr>
              <w:divsChild>
                <w:div w:id="1859392859">
                  <w:marLeft w:val="0"/>
                  <w:marRight w:val="0"/>
                  <w:marTop w:val="0"/>
                  <w:marBottom w:val="0"/>
                  <w:divBdr>
                    <w:top w:val="none" w:sz="0" w:space="0" w:color="auto"/>
                    <w:left w:val="none" w:sz="0" w:space="0" w:color="auto"/>
                    <w:bottom w:val="none" w:sz="0" w:space="0" w:color="auto"/>
                    <w:right w:val="none" w:sz="0" w:space="0" w:color="auto"/>
                  </w:divBdr>
                  <w:divsChild>
                    <w:div w:id="5917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95415">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359966101">
      <w:bodyDiv w:val="1"/>
      <w:marLeft w:val="0"/>
      <w:marRight w:val="0"/>
      <w:marTop w:val="0"/>
      <w:marBottom w:val="0"/>
      <w:divBdr>
        <w:top w:val="none" w:sz="0" w:space="0" w:color="auto"/>
        <w:left w:val="none" w:sz="0" w:space="0" w:color="auto"/>
        <w:bottom w:val="none" w:sz="0" w:space="0" w:color="auto"/>
        <w:right w:val="none" w:sz="0" w:space="0" w:color="auto"/>
      </w:divBdr>
    </w:div>
    <w:div w:id="1463691669">
      <w:bodyDiv w:val="1"/>
      <w:marLeft w:val="0"/>
      <w:marRight w:val="0"/>
      <w:marTop w:val="0"/>
      <w:marBottom w:val="0"/>
      <w:divBdr>
        <w:top w:val="none" w:sz="0" w:space="0" w:color="auto"/>
        <w:left w:val="none" w:sz="0" w:space="0" w:color="auto"/>
        <w:bottom w:val="none" w:sz="0" w:space="0" w:color="auto"/>
        <w:right w:val="none" w:sz="0" w:space="0" w:color="auto"/>
      </w:divBdr>
    </w:div>
    <w:div w:id="1483430101">
      <w:bodyDiv w:val="1"/>
      <w:marLeft w:val="0"/>
      <w:marRight w:val="0"/>
      <w:marTop w:val="0"/>
      <w:marBottom w:val="0"/>
      <w:divBdr>
        <w:top w:val="none" w:sz="0" w:space="0" w:color="auto"/>
        <w:left w:val="none" w:sz="0" w:space="0" w:color="auto"/>
        <w:bottom w:val="none" w:sz="0" w:space="0" w:color="auto"/>
        <w:right w:val="none" w:sz="0" w:space="0" w:color="auto"/>
      </w:divBdr>
    </w:div>
    <w:div w:id="1506170562">
      <w:bodyDiv w:val="1"/>
      <w:marLeft w:val="0"/>
      <w:marRight w:val="0"/>
      <w:marTop w:val="0"/>
      <w:marBottom w:val="0"/>
      <w:divBdr>
        <w:top w:val="none" w:sz="0" w:space="0" w:color="auto"/>
        <w:left w:val="none" w:sz="0" w:space="0" w:color="auto"/>
        <w:bottom w:val="none" w:sz="0" w:space="0" w:color="auto"/>
        <w:right w:val="none" w:sz="0" w:space="0" w:color="auto"/>
      </w:divBdr>
    </w:div>
    <w:div w:id="1590306709">
      <w:bodyDiv w:val="1"/>
      <w:marLeft w:val="0"/>
      <w:marRight w:val="0"/>
      <w:marTop w:val="0"/>
      <w:marBottom w:val="0"/>
      <w:divBdr>
        <w:top w:val="none" w:sz="0" w:space="0" w:color="auto"/>
        <w:left w:val="none" w:sz="0" w:space="0" w:color="auto"/>
        <w:bottom w:val="none" w:sz="0" w:space="0" w:color="auto"/>
        <w:right w:val="none" w:sz="0" w:space="0" w:color="auto"/>
      </w:divBdr>
      <w:divsChild>
        <w:div w:id="290749721">
          <w:marLeft w:val="0"/>
          <w:marRight w:val="0"/>
          <w:marTop w:val="0"/>
          <w:marBottom w:val="0"/>
          <w:divBdr>
            <w:top w:val="none" w:sz="0" w:space="0" w:color="auto"/>
            <w:left w:val="none" w:sz="0" w:space="0" w:color="auto"/>
            <w:bottom w:val="none" w:sz="0" w:space="0" w:color="auto"/>
            <w:right w:val="none" w:sz="0" w:space="0" w:color="auto"/>
          </w:divBdr>
          <w:divsChild>
            <w:div w:id="195389464">
              <w:marLeft w:val="0"/>
              <w:marRight w:val="0"/>
              <w:marTop w:val="0"/>
              <w:marBottom w:val="0"/>
              <w:divBdr>
                <w:top w:val="none" w:sz="0" w:space="0" w:color="auto"/>
                <w:left w:val="none" w:sz="0" w:space="0" w:color="auto"/>
                <w:bottom w:val="none" w:sz="0" w:space="0" w:color="auto"/>
                <w:right w:val="none" w:sz="0" w:space="0" w:color="auto"/>
              </w:divBdr>
              <w:divsChild>
                <w:div w:id="1015885754">
                  <w:marLeft w:val="0"/>
                  <w:marRight w:val="0"/>
                  <w:marTop w:val="0"/>
                  <w:marBottom w:val="0"/>
                  <w:divBdr>
                    <w:top w:val="none" w:sz="0" w:space="0" w:color="auto"/>
                    <w:left w:val="none" w:sz="0" w:space="0" w:color="auto"/>
                    <w:bottom w:val="none" w:sz="0" w:space="0" w:color="auto"/>
                    <w:right w:val="none" w:sz="0" w:space="0" w:color="auto"/>
                  </w:divBdr>
                  <w:divsChild>
                    <w:div w:id="3536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473654">
      <w:bodyDiv w:val="1"/>
      <w:marLeft w:val="0"/>
      <w:marRight w:val="0"/>
      <w:marTop w:val="0"/>
      <w:marBottom w:val="0"/>
      <w:divBdr>
        <w:top w:val="none" w:sz="0" w:space="0" w:color="auto"/>
        <w:left w:val="none" w:sz="0" w:space="0" w:color="auto"/>
        <w:bottom w:val="none" w:sz="0" w:space="0" w:color="auto"/>
        <w:right w:val="none" w:sz="0" w:space="0" w:color="auto"/>
      </w:divBdr>
    </w:div>
    <w:div w:id="1608926304">
      <w:bodyDiv w:val="1"/>
      <w:marLeft w:val="0"/>
      <w:marRight w:val="0"/>
      <w:marTop w:val="0"/>
      <w:marBottom w:val="0"/>
      <w:divBdr>
        <w:top w:val="none" w:sz="0" w:space="0" w:color="auto"/>
        <w:left w:val="none" w:sz="0" w:space="0" w:color="auto"/>
        <w:bottom w:val="none" w:sz="0" w:space="0" w:color="auto"/>
        <w:right w:val="none" w:sz="0" w:space="0" w:color="auto"/>
      </w:divBdr>
    </w:div>
    <w:div w:id="1729500708">
      <w:bodyDiv w:val="1"/>
      <w:marLeft w:val="0"/>
      <w:marRight w:val="0"/>
      <w:marTop w:val="0"/>
      <w:marBottom w:val="0"/>
      <w:divBdr>
        <w:top w:val="none" w:sz="0" w:space="0" w:color="auto"/>
        <w:left w:val="none" w:sz="0" w:space="0" w:color="auto"/>
        <w:bottom w:val="none" w:sz="0" w:space="0" w:color="auto"/>
        <w:right w:val="none" w:sz="0" w:space="0" w:color="auto"/>
      </w:divBdr>
    </w:div>
    <w:div w:id="1738551782">
      <w:bodyDiv w:val="1"/>
      <w:marLeft w:val="0"/>
      <w:marRight w:val="0"/>
      <w:marTop w:val="0"/>
      <w:marBottom w:val="0"/>
      <w:divBdr>
        <w:top w:val="none" w:sz="0" w:space="0" w:color="auto"/>
        <w:left w:val="none" w:sz="0" w:space="0" w:color="auto"/>
        <w:bottom w:val="none" w:sz="0" w:space="0" w:color="auto"/>
        <w:right w:val="none" w:sz="0" w:space="0" w:color="auto"/>
      </w:divBdr>
    </w:div>
    <w:div w:id="1799831782">
      <w:bodyDiv w:val="1"/>
      <w:marLeft w:val="0"/>
      <w:marRight w:val="0"/>
      <w:marTop w:val="0"/>
      <w:marBottom w:val="0"/>
      <w:divBdr>
        <w:top w:val="none" w:sz="0" w:space="0" w:color="auto"/>
        <w:left w:val="none" w:sz="0" w:space="0" w:color="auto"/>
        <w:bottom w:val="none" w:sz="0" w:space="0" w:color="auto"/>
        <w:right w:val="none" w:sz="0" w:space="0" w:color="auto"/>
      </w:divBdr>
    </w:div>
    <w:div w:id="1898857493">
      <w:bodyDiv w:val="1"/>
      <w:marLeft w:val="0"/>
      <w:marRight w:val="0"/>
      <w:marTop w:val="0"/>
      <w:marBottom w:val="0"/>
      <w:divBdr>
        <w:top w:val="none" w:sz="0" w:space="0" w:color="auto"/>
        <w:left w:val="none" w:sz="0" w:space="0" w:color="auto"/>
        <w:bottom w:val="none" w:sz="0" w:space="0" w:color="auto"/>
        <w:right w:val="none" w:sz="0" w:space="0" w:color="auto"/>
      </w:divBdr>
    </w:div>
    <w:div w:id="1942640618">
      <w:bodyDiv w:val="1"/>
      <w:marLeft w:val="0"/>
      <w:marRight w:val="0"/>
      <w:marTop w:val="0"/>
      <w:marBottom w:val="0"/>
      <w:divBdr>
        <w:top w:val="none" w:sz="0" w:space="0" w:color="auto"/>
        <w:left w:val="none" w:sz="0" w:space="0" w:color="auto"/>
        <w:bottom w:val="none" w:sz="0" w:space="0" w:color="auto"/>
        <w:right w:val="none" w:sz="0" w:space="0" w:color="auto"/>
      </w:divBdr>
    </w:div>
    <w:div w:id="210942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doi.org/10.47191/ijsshr/v5-i6-69" TargetMode="External"/><Relationship Id="rId26" Type="http://schemas.openxmlformats.org/officeDocument/2006/relationships/image" Target="media/image6.png"/><Relationship Id="rId39" Type="http://schemas.openxmlformats.org/officeDocument/2006/relationships/image" Target="media/image13.png"/><Relationship Id="rId21" Type="http://schemas.openxmlformats.org/officeDocument/2006/relationships/hyperlink" Target="https://doi.org/10.11594/jk6em.03.01.08" TargetMode="External"/><Relationship Id="rId34" Type="http://schemas.openxmlformats.org/officeDocument/2006/relationships/hyperlink" Target="https://publons.com/researcher/3843075/masitah-shahrill/" TargetMode="External"/><Relationship Id="rId42" Type="http://schemas.openxmlformats.org/officeDocument/2006/relationships/hyperlink" Target="mailto:aslamiah@ulm.ac.id"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4114/gr.v13i01.55826" TargetMode="External"/><Relationship Id="rId29" Type="http://schemas.openxmlformats.org/officeDocument/2006/relationships/hyperlink" Target="https://scholar.google.com/citations?user=o1LhSSYAAAAJ&amp;hl=en" TargetMode="External"/><Relationship Id="rId11" Type="http://schemas.openxmlformats.org/officeDocument/2006/relationships/image" Target="media/image3.png"/><Relationship Id="rId24" Type="http://schemas.openxmlformats.org/officeDocument/2006/relationships/hyperlink" Target="https://doi.org/10.37081/ed.v11i3.5009" TargetMode="External"/><Relationship Id="rId32" Type="http://schemas.openxmlformats.org/officeDocument/2006/relationships/image" Target="media/image9.png"/><Relationship Id="rId37" Type="http://schemas.openxmlformats.org/officeDocument/2006/relationships/image" Target="media/image12.png"/><Relationship Id="rId40" Type="http://schemas.openxmlformats.org/officeDocument/2006/relationships/hyperlink" Target="mailto:sulis.bk@ulm.ac.id"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7275/per.24.50.11.4" TargetMode="External"/><Relationship Id="rId23" Type="http://schemas.openxmlformats.org/officeDocument/2006/relationships/hyperlink" Target="https://doi.org/10.46245/ijorer.v5i4.632" TargetMode="External"/><Relationship Id="rId28" Type="http://schemas.openxmlformats.org/officeDocument/2006/relationships/image" Target="media/image7.png"/><Relationship Id="rId36" Type="http://schemas.openxmlformats.org/officeDocument/2006/relationships/hyperlink" Target="mailto:hendryhermawan72@gmail.com" TargetMode="External"/><Relationship Id="rId49" Type="http://schemas.openxmlformats.org/officeDocument/2006/relationships/fontTable" Target="fontTable.xml"/><Relationship Id="rId10" Type="http://schemas.openxmlformats.org/officeDocument/2006/relationships/hyperlink" Target="mailto:hendryhermawan72@gmail.com" TargetMode="External"/><Relationship Id="rId19" Type="http://schemas.openxmlformats.org/officeDocument/2006/relationships/hyperlink" Target="https://doi.org/10.11648/j.sr.20241204.13" TargetMode="External"/><Relationship Id="rId31" Type="http://schemas.openxmlformats.org/officeDocument/2006/relationships/hyperlink" Target="https://www.scopus.com/authid/detail.uri?authorId=55873798300" TargetMode="External"/><Relationship Id="rId44"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doi.org/10.18860/uajmpi.v2i3.892" TargetMode="External"/><Relationship Id="rId22" Type="http://schemas.openxmlformats.org/officeDocument/2006/relationships/hyperlink" Target="http://repository.uinsi.ac.id/handle/123456789/1685" TargetMode="External"/><Relationship Id="rId27" Type="http://schemas.openxmlformats.org/officeDocument/2006/relationships/hyperlink" Target="https://orcid.org/0000-0002-9395-0798" TargetMode="External"/><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10.32832/JM-UIKA.V12I1.3950" TargetMode="External"/><Relationship Id="rId25" Type="http://schemas.openxmlformats.org/officeDocument/2006/relationships/hyperlink" Target="https://doi.org/10.53802/fitrah.v4i2.435" TargetMode="External"/><Relationship Id="rId33" Type="http://schemas.openxmlformats.org/officeDocument/2006/relationships/image" Target="media/image10.svg"/><Relationship Id="rId38" Type="http://schemas.openxmlformats.org/officeDocument/2006/relationships/hyperlink" Target="mailto:a.suriansyah@ulm.ac.id" TargetMode="External"/><Relationship Id="rId46" Type="http://schemas.openxmlformats.org/officeDocument/2006/relationships/footer" Target="footer2.xml"/><Relationship Id="rId20" Type="http://schemas.openxmlformats.org/officeDocument/2006/relationships/hyperlink" Target="https://repository.upi.edu/67500/1/T_ADPEN_1911643_Title.pdf" TargetMode="External"/><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hyperlink" Target="https://doi.org/10.51276/edu.v7i2.1720" TargetMode="External"/><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63FD5-02F5-4ADD-B842-E22C56F14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2029</TotalTime>
  <Pages>1</Pages>
  <Words>9100</Words>
  <Characters>51873</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sirariefaulia@gmail.com</cp:lastModifiedBy>
  <cp:revision>78</cp:revision>
  <dcterms:created xsi:type="dcterms:W3CDTF">2020-10-06T12:09:00Z</dcterms:created>
  <dcterms:modified xsi:type="dcterms:W3CDTF">2026-04-28T09:53:00Z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e6af90a4-ad10-3ae8-9d03-bcb06a0f642b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